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D66" w:rsidRPr="00C82199" w:rsidRDefault="00995D66" w:rsidP="003444A0">
      <w:pPr>
        <w:spacing w:line="240" w:lineRule="auto"/>
        <w:ind w:right="-2"/>
        <w:jc w:val="center"/>
        <w:rPr>
          <w:rFonts w:ascii="Yu Gothic UI Semilight" w:eastAsia="Yu Gothic UI Semilight" w:hAnsi="Yu Gothic UI Semilight" w:cs="Segoe UI"/>
          <w:b/>
          <w:bCs/>
          <w:iCs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b/>
          <w:bCs/>
          <w:iCs/>
          <w:color w:val="000000" w:themeColor="text1"/>
          <w:sz w:val="18"/>
          <w:szCs w:val="18"/>
        </w:rPr>
        <w:t>ÍNDICE</w:t>
      </w:r>
      <w:r w:rsidR="00CF73C9" w:rsidRPr="00C82199">
        <w:rPr>
          <w:rFonts w:ascii="Yu Gothic UI Semilight" w:eastAsia="Yu Gothic UI Semilight" w:hAnsi="Yu Gothic UI Semilight" w:cs="Segoe UI"/>
          <w:b/>
          <w:bCs/>
          <w:iCs/>
          <w:color w:val="000000" w:themeColor="text1"/>
          <w:sz w:val="18"/>
          <w:szCs w:val="18"/>
        </w:rPr>
        <w:t>S</w:t>
      </w:r>
      <w:r w:rsidRPr="00C82199">
        <w:rPr>
          <w:rFonts w:ascii="Yu Gothic UI Semilight" w:eastAsia="Yu Gothic UI Semilight" w:hAnsi="Yu Gothic UI Semilight" w:cs="Segoe UI"/>
          <w:b/>
          <w:bCs/>
          <w:iCs/>
          <w:color w:val="000000" w:themeColor="text1"/>
          <w:sz w:val="18"/>
          <w:szCs w:val="18"/>
        </w:rPr>
        <w:t xml:space="preserve"> DA CESTA BÁSICA DA CIDADE DE </w:t>
      </w:r>
      <w:r w:rsidR="00D80614" w:rsidRPr="00C82199">
        <w:rPr>
          <w:rFonts w:ascii="Yu Gothic UI Semilight" w:eastAsia="Yu Gothic UI Semilight" w:hAnsi="Yu Gothic UI Semilight" w:cs="Segoe UI"/>
          <w:b/>
          <w:bCs/>
          <w:iCs/>
          <w:color w:val="000000" w:themeColor="text1"/>
          <w:sz w:val="18"/>
          <w:szCs w:val="18"/>
        </w:rPr>
        <w:t>LUÍS CORREIA</w:t>
      </w:r>
      <w:r w:rsidRPr="00C82199">
        <w:rPr>
          <w:rFonts w:ascii="Yu Gothic UI Semilight" w:eastAsia="Yu Gothic UI Semilight" w:hAnsi="Yu Gothic UI Semilight" w:cs="Segoe UI"/>
          <w:b/>
          <w:bCs/>
          <w:iCs/>
          <w:color w:val="000000" w:themeColor="text1"/>
          <w:sz w:val="18"/>
          <w:szCs w:val="18"/>
        </w:rPr>
        <w:t>-PI</w:t>
      </w:r>
    </w:p>
    <w:p w:rsidR="004F5FF8" w:rsidRPr="00C82199" w:rsidRDefault="00B32802" w:rsidP="003444A0">
      <w:pPr>
        <w:spacing w:after="0" w:line="240" w:lineRule="auto"/>
        <w:ind w:left="-426" w:right="-2"/>
        <w:jc w:val="center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3C6E6D" wp14:editId="2A65370C">
                <wp:simplePos x="0" y="0"/>
                <wp:positionH relativeFrom="column">
                  <wp:posOffset>5045380</wp:posOffset>
                </wp:positionH>
                <wp:positionV relativeFrom="paragraph">
                  <wp:posOffset>6259</wp:posOffset>
                </wp:positionV>
                <wp:extent cx="1292555" cy="270510"/>
                <wp:effectExtent l="0" t="0" r="3175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55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588" w:rsidRPr="0052403C" w:rsidRDefault="00EE1588">
                            <w:pPr>
                              <w:rPr>
                                <w:rFonts w:ascii="Yu Gothic UI Light" w:eastAsia="Yu Gothic UI Light" w:hAnsi="Yu Gothic UI Light" w:cs="Segoe UI"/>
                                <w:sz w:val="20"/>
                                <w:szCs w:val="20"/>
                              </w:rPr>
                            </w:pPr>
                            <w:r w:rsidRPr="0052403C">
                              <w:rPr>
                                <w:rFonts w:ascii="Yu Gothic UI Light" w:eastAsia="Yu Gothic UI Light" w:hAnsi="Yu Gothic UI Light" w:cs="Segoe UI"/>
                                <w:sz w:val="20"/>
                                <w:szCs w:val="20"/>
                              </w:rPr>
                              <w:t>ISQN ########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75940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7.25pt;margin-top:.5pt;width:101.8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LZDgQIAABAFAAAOAAAAZHJzL2Uyb0RvYy54bWysVFtv2yAUfp+0/4B4T32R3cRWnaqXZZrU&#10;XaR2P4AAjtEwMCCxu6n/fQecpFm3SdM0P2Auh+9cvu9wcTn2Eu24dUKrBmdnKUZcUc2E2jT488Nq&#10;tsDIeaIYkVrxBj9yhy+Xr19dDKbmue60ZNwiAFGuHkyDO+9NnSSOdrwn7kwbruCw1bYnHpZ2kzBL&#10;BkDvZZKn6XkyaMuM1ZQ7B7u30yFeRvy25dR/bFvHPZINhth8HG0c12FMlhek3lhiOkH3YZB/iKIn&#10;QoHTI9Qt8QRtrfgFqhfUaqdbf0Z1n+i2FZTHHCCbLH2RzX1HDI+5QHGcOZbJ/T9Y+mH3ySLBgLsM&#10;I0V64OiBjx5d6xGVoTyDcTVY3Ruw8yNsg2lM1Zk7Tb84pPRNR9SGX1mrh44TBuFl4WZycnXCcQFk&#10;PbzXDNyQrdcRaGxtH2oH1UCADjQ9HqkJodDgMq/ysiwxonCWz9Myi9wlpD7cNtb5t1z3KEwabIH6&#10;iE52d86HaEh9MAnOnJaCrYSUcWE36xtp0Y6ATFbxiwm8MJMqGCsdrk2I0w4ECT7CWQg30v69yvIi&#10;vc6r2ep8MZ8Vq6KcVfN0MUuz6ro6T4uquF09hQCzou4EY1zdCcUPEsyKv6N43wyTeKII0dDgqszL&#10;iaI/JpnG73dJ9sJDR0rRN3hxNCJ1IPaNYpA2qT0RcponP4cfqww1OPxjVaIMAvOTBvy4HgElaGOt&#10;2SMIwmrgC1iHZwQmnbbfMBqgJRvsvm6J5RjJdwpEVWVFEXo4LopynsPCnp6sT0+IogDVYI/RNL3x&#10;U99vjRWbDjxNMlb6CoTYiqiR56j28oW2i8nsn4jQ16fraPX8kC1/AAAA//8DAFBLAwQUAAYACAAA&#10;ACEATJex390AAAAIAQAADwAAAGRycy9kb3ducmV2LnhtbEyP0U6DQBBF3038h8008cXYpUqhIEuj&#10;JhpfW/sBA7sFUnaWsNtC/97xyT5Ozs2dc4vtbHtxMaPvHClYLSMQhmqnO2oUHH4+nzYgfEDS2Dsy&#10;Cq7Gw7a8vysw126inbnsQyO4hHyOCtoQhlxKX7fGol+6wRCzoxstBj7HRuoRJy63vXyOokRa7Ig/&#10;tDiYj9bUp/3ZKjh+T4/rbKq+wiHdxck7dmnlrko9LOa3VxDBzOE/DH/6rA4lO1XuTNqLXkGaxWuO&#10;MuBJzLNsswJRKYhfEpBlIW8HlL8AAAD//wMAUEsBAi0AFAAGAAgAAAAhALaDOJL+AAAA4QEAABMA&#10;AAAAAAAAAAAAAAAAAAAAAFtDb250ZW50X1R5cGVzXS54bWxQSwECLQAUAAYACAAAACEAOP0h/9YA&#10;AACUAQAACwAAAAAAAAAAAAAAAAAvAQAAX3JlbHMvLnJlbHNQSwECLQAUAAYACAAAACEAuJC2Q4EC&#10;AAAQBQAADgAAAAAAAAAAAAAAAAAuAgAAZHJzL2Uyb0RvYy54bWxQSwECLQAUAAYACAAAACEATJex&#10;390AAAAIAQAADwAAAAAAAAAAAAAAAADbBAAAZHJzL2Rvd25yZXYueG1sUEsFBgAAAAAEAAQA8wAA&#10;AOUFAAAAAA==&#10;" stroked="f">
                <v:textbox>
                  <w:txbxContent>
                    <w:p w:rsidR="00EE1588" w:rsidRPr="0052403C" w:rsidRDefault="00EE1588">
                      <w:pPr>
                        <w:rPr>
                          <w:rFonts w:ascii="Yu Gothic UI Light" w:eastAsia="Yu Gothic UI Light" w:hAnsi="Yu Gothic UI Light" w:cs="Segoe UI"/>
                          <w:sz w:val="20"/>
                          <w:szCs w:val="20"/>
                        </w:rPr>
                      </w:pPr>
                      <w:r w:rsidRPr="0052403C">
                        <w:rPr>
                          <w:rFonts w:ascii="Yu Gothic UI Light" w:eastAsia="Yu Gothic UI Light" w:hAnsi="Yu Gothic UI Light" w:cs="Segoe UI"/>
                          <w:sz w:val="20"/>
                          <w:szCs w:val="20"/>
                        </w:rPr>
                        <w:t>ISQN ########</w:t>
                      </w:r>
                    </w:p>
                  </w:txbxContent>
                </v:textbox>
              </v:shape>
            </w:pict>
          </mc:Fallback>
        </mc:AlternateContent>
      </w:r>
      <w:r w:rsidR="00C4474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Ano 1, nº </w:t>
      </w:r>
      <w:r w:rsidR="003A56B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7</w:t>
      </w:r>
      <w:r w:rsidR="004F5FF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, </w:t>
      </w:r>
      <w:r w:rsidR="003A56B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outubro</w:t>
      </w:r>
      <w:r w:rsidR="00995D6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de 2020</w:t>
      </w:r>
    </w:p>
    <w:p w:rsidR="00995D66" w:rsidRPr="00C82199" w:rsidRDefault="00995D66" w:rsidP="003444A0">
      <w:pPr>
        <w:tabs>
          <w:tab w:val="left" w:pos="9781"/>
        </w:tabs>
        <w:spacing w:after="0" w:line="240" w:lineRule="auto"/>
        <w:ind w:right="-2"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</w:p>
    <w:p w:rsidR="00E705E1" w:rsidRPr="00C82199" w:rsidRDefault="007352D8" w:rsidP="003444A0">
      <w:pPr>
        <w:tabs>
          <w:tab w:val="left" w:pos="9781"/>
        </w:tabs>
        <w:spacing w:line="240" w:lineRule="auto"/>
        <w:ind w:right="-2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FD8D1F" wp14:editId="251B95DC">
                <wp:simplePos x="0" y="0"/>
                <wp:positionH relativeFrom="column">
                  <wp:posOffset>-49530</wp:posOffset>
                </wp:positionH>
                <wp:positionV relativeFrom="paragraph">
                  <wp:posOffset>262255</wp:posOffset>
                </wp:positionV>
                <wp:extent cx="2267585" cy="3479165"/>
                <wp:effectExtent l="0" t="0" r="0" b="698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47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588" w:rsidRPr="00942B33" w:rsidRDefault="00EE1588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Tabela 1: </w:t>
                            </w: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sz w:val="16"/>
                                <w:szCs w:val="16"/>
                              </w:rPr>
                              <w:t>Produtos e quantidades da cesta básica segundo as regiões*</w:t>
                            </w:r>
                          </w:p>
                          <w:p w:rsidR="00EE1588" w:rsidRPr="00942B33" w:rsidRDefault="00EE1588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Yu Gothic UI Light" w:eastAsia="Yu Gothic UI Light" w:hAnsi="Yu Gothic UI Light" w:cs="Segoe UI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37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2"/>
                              <w:gridCol w:w="727"/>
                              <w:gridCol w:w="1319"/>
                            </w:tblGrid>
                            <w:tr w:rsidR="00EE1588" w:rsidRPr="00942B33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sz w:val="16"/>
                                      <w:szCs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sz w:val="16"/>
                                      <w:szCs w:val="16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EE1588" w:rsidRPr="00942B33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EE1588" w:rsidRPr="00942B33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EE1588" w:rsidRPr="00942B33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EE1588" w:rsidRPr="00942B33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EE1588" w:rsidRPr="00942B33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EE1588" w:rsidRPr="00942B33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EE1588" w:rsidRPr="00942B33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EE1588" w:rsidRPr="00942B33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EE1588" w:rsidRPr="00942B33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E1588" w:rsidRPr="00942B33" w:rsidRDefault="00EE1588" w:rsidP="00974C9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EE1588" w:rsidRPr="00942B33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EE1588" w:rsidRPr="00942B33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EE1588" w:rsidRPr="00942B33" w:rsidTr="00F23F25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E1588" w:rsidRPr="00942B33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42B33">
                                    <w:rPr>
                                      <w:rFonts w:ascii="Yu Gothic UI Light" w:eastAsia="Yu Gothic UI Light" w:hAnsi="Yu Gothic UI Light" w:cs="Segoe UI"/>
                                      <w:sz w:val="16"/>
                                      <w:szCs w:val="16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:rsidR="00EE1588" w:rsidRPr="00942B33" w:rsidRDefault="00EE1588" w:rsidP="00E15B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color w:val="000000" w:themeColor="text1"/>
                                <w:sz w:val="16"/>
                                <w:szCs w:val="16"/>
                              </w:rPr>
                              <w:t>*</w:t>
                            </w: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Alimentos Região 2 - </w:t>
                            </w: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PE, BA, CE, RN, AL, SE, AM, PA, PI, TO, AC, PB, RO, AM, RR e MA</w:t>
                            </w:r>
                          </w:p>
                          <w:p w:rsidR="00EE1588" w:rsidRPr="00942B33" w:rsidRDefault="00EE1588" w:rsidP="004F5FF8">
                            <w:pPr>
                              <w:rPr>
                                <w:rFonts w:ascii="Yu Gothic UI Light" w:eastAsia="Yu Gothic UI Light" w:hAnsi="Yu Gothic UI Light" w:cs="Segoe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color w:val="000000" w:themeColor="text1"/>
                                <w:sz w:val="20"/>
                                <w:szCs w:val="20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FD8D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.9pt;margin-top:20.65pt;width:178.55pt;height:27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rFChgIAABgFAAAOAAAAZHJzL2Uyb0RvYy54bWysVNuO2yAQfa/Uf0C8Z32pncRWnNUm21SV&#10;thdptx9AAMeoGFwgsbdV/70DTrLZXqSqqh8wl+HMmZkzLK6HVqIDN1ZoVeHkKsaIK6qZULsKf3rY&#10;TOYYWUcUI1IrXuFHbvH18uWLRd+VPNWNlowbBCDKln1X4ca5rowiSxveEnulO67gsNamJQ6WZhcx&#10;Q3pAb2WUxvE06rVhndGUWwu7t+MhXgb8uubUfahryx2SFQZuLowmjFs/RssFKXeGdI2gRxrkH1i0&#10;RChweoa6JY6gvRG/QLWCGm117a6obiNd14LyEANEk8Q/RXPfkI6HWCA5tjunyf4/WPr+8NEgwaB2&#10;kB5FWqjRAx8cWukBpT49fWdLsLrvwM4NsA2mIVTb3Wn62SKl1w1RO35jjO4bThjQS/zN6OLqiGM9&#10;yLZ/pxm4IXunA9BQm9bnDrKBAB14PJ5L46lQ2EzT6Syf5xhROHuVzYpkmgcfpDxd74x1b7hukZ9U&#10;2EDtAzw53Fnn6ZDyZOK9WS0F2wgpw8Lstmtp0IGATjbhO6I/M5PKGyvtr42I4w6wBB/+zPMNdf9W&#10;JGkWr9JispnOZ5Nsk+WTYhbPJ3FSrIppnBXZ7ea7J5hkZSMY4+pOKH7SYJL9XY2P3TCqJ6gQ9RUu&#10;8jQfa/THIOPw/S7IVjhoSSnaCs/PRqT0lX2tGIRNSkeEHOfRc/ohy5CD0z9kJejAl34UgRu2w6g4&#10;791rZKvZIwjDaCgbVB+eE5g02nzFqIfWrLD9sieGYyTfKhBXkWSZ7+WwyPJZCgtzebK9PCGKAlSF&#10;HUbjdO3G/t93Ruwa8DTKWekbEGQtglSeWB1lDO0XYjo+Fb6/L9fB6ulBW/4AAAD//wMAUEsDBBQA&#10;BgAIAAAAIQCrpiCO3wAAAAkBAAAPAAAAZHJzL2Rvd25yZXYueG1sTI/BbsIwEETvlfoP1iL1UoED&#10;BELSOKit1KpXKB/gxEsSEa+j2JDw992e2tuOZjTzNt9PthM3HHzrSMFyEYFAqpxpqVZw+v6Y70D4&#10;oMnozhEquKOHffH4kOvMuJEOeDuGWnAJ+UwraELoMyl91aDVfuF6JPbObrA6sBxqaQY9crnt5CqK&#10;ttLqlnih0T2+N1hdjler4Pw1Pm/SsfwMp+QQb990m5TurtTTbHp9ARFwCn9h+MVndCiYqXRXMl50&#10;CuYJkwcF8XINgv11nPJRKtjs0hXIIpf/Pyh+AAAA//8DAFBLAQItABQABgAIAAAAIQC2gziS/gAA&#10;AOEBAAATAAAAAAAAAAAAAAAAAAAAAABbQ29udGVudF9UeXBlc10ueG1sUEsBAi0AFAAGAAgAAAAh&#10;ADj9If/WAAAAlAEAAAsAAAAAAAAAAAAAAAAALwEAAF9yZWxzLy5yZWxzUEsBAi0AFAAGAAgAAAAh&#10;AAH6sUKGAgAAGAUAAA4AAAAAAAAAAAAAAAAALgIAAGRycy9lMm9Eb2MueG1sUEsBAi0AFAAGAAgA&#10;AAAhAKumII7fAAAACQEAAA8AAAAAAAAAAAAAAAAA4AQAAGRycy9kb3ducmV2LnhtbFBLBQYAAAAA&#10;BAAEAPMAAADsBQAAAAA=&#10;" stroked="f">
                <v:textbox>
                  <w:txbxContent>
                    <w:p w:rsidR="00EE1588" w:rsidRPr="00942B33" w:rsidRDefault="00EE1588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Yu Gothic UI Light" w:eastAsia="Yu Gothic UI Light" w:hAnsi="Yu Gothic UI Light" w:cs="Segoe UI"/>
                          <w:b/>
                          <w:bCs/>
                          <w:sz w:val="16"/>
                          <w:szCs w:val="16"/>
                        </w:rPr>
                      </w:pPr>
                      <w:r w:rsidRPr="00942B33">
                        <w:rPr>
                          <w:rFonts w:ascii="Yu Gothic UI Light" w:eastAsia="Yu Gothic UI Light" w:hAnsi="Yu Gothic UI Light" w:cs="Segoe UI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Tabela 1: </w:t>
                      </w:r>
                      <w:r w:rsidRPr="00942B33">
                        <w:rPr>
                          <w:rFonts w:ascii="Yu Gothic UI Light" w:eastAsia="Yu Gothic UI Light" w:hAnsi="Yu Gothic UI Light" w:cs="Segoe UI"/>
                          <w:b/>
                          <w:bCs/>
                          <w:sz w:val="16"/>
                          <w:szCs w:val="16"/>
                        </w:rPr>
                        <w:t>Produtos e quantidades da cesta básica segundo as regiões*</w:t>
                      </w:r>
                    </w:p>
                    <w:p w:rsidR="00EE1588" w:rsidRPr="00942B33" w:rsidRDefault="00EE1588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Yu Gothic UI Light" w:eastAsia="Yu Gothic UI Light" w:hAnsi="Yu Gothic UI Light" w:cs="Segoe UI"/>
                          <w:color w:val="FF0000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elacomgrade"/>
                        <w:tblW w:w="337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2"/>
                        <w:gridCol w:w="727"/>
                        <w:gridCol w:w="1319"/>
                      </w:tblGrid>
                      <w:tr w:rsidR="00EE1588" w:rsidRPr="00942B33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Yu Gothic UI Light" w:eastAsia="Yu Gothic UI Light" w:hAnsi="Yu Gothic UI Light" w:cs="Segoe UI"/>
                                <w:b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b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Yu Gothic UI Light" w:eastAsia="Yu Gothic UI Light" w:hAnsi="Yu Gothic UI Light" w:cs="Segoe UI"/>
                                <w:b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b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Yu Gothic UI Light" w:eastAsia="Yu Gothic UI Light" w:hAnsi="Yu Gothic UI Light" w:cs="Segoe UI"/>
                                <w:b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b/>
                                <w:sz w:val="16"/>
                                <w:szCs w:val="16"/>
                              </w:rPr>
                              <w:t>QUANTIDADE</w:t>
                            </w:r>
                          </w:p>
                        </w:tc>
                      </w:tr>
                      <w:tr w:rsidR="00EE1588" w:rsidRPr="00942B33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</w:tcBorders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</w:tr>
                      <w:tr w:rsidR="00EE1588" w:rsidRPr="00942B33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c>
                      </w:tr>
                      <w:tr w:rsidR="00EE1588" w:rsidRPr="00942B33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</w:tr>
                      <w:tr w:rsidR="00EE1588" w:rsidRPr="00942B33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3,6</w:t>
                            </w:r>
                          </w:p>
                        </w:tc>
                      </w:tr>
                      <w:tr w:rsidR="00EE1588" w:rsidRPr="00942B33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</w:tc>
                      </w:tr>
                      <w:tr w:rsidR="00EE1588" w:rsidRPr="00942B33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12,0</w:t>
                            </w:r>
                          </w:p>
                        </w:tc>
                      </w:tr>
                      <w:tr w:rsidR="00EE1588" w:rsidRPr="00942B33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c>
                      </w:tr>
                      <w:tr w:rsidR="00EE1588" w:rsidRPr="00942B33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300</w:t>
                            </w:r>
                          </w:p>
                        </w:tc>
                      </w:tr>
                      <w:tr w:rsidR="00EE1588" w:rsidRPr="00942B33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E1588" w:rsidRPr="00942B33" w:rsidRDefault="00EE1588" w:rsidP="00974C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c>
                      </w:tr>
                      <w:tr w:rsidR="00EE1588" w:rsidRPr="00942B33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</w:tc>
                      </w:tr>
                      <w:tr w:rsidR="00EE1588" w:rsidRPr="00942B33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750</w:t>
                            </w:r>
                          </w:p>
                        </w:tc>
                      </w:tr>
                      <w:tr w:rsidR="00EE1588" w:rsidRPr="00942B33" w:rsidTr="00F23F25">
                        <w:trPr>
                          <w:trHeight w:val="27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bottom w:val="single" w:sz="4" w:space="0" w:color="auto"/>
                            </w:tcBorders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E1588" w:rsidRPr="00942B33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42B33">
                              <w:rPr>
                                <w:rFonts w:ascii="Yu Gothic UI Light" w:eastAsia="Yu Gothic UI Light" w:hAnsi="Yu Gothic UI Light" w:cs="Segoe UI"/>
                                <w:sz w:val="16"/>
                                <w:szCs w:val="16"/>
                              </w:rPr>
                              <w:t>750</w:t>
                            </w:r>
                          </w:p>
                        </w:tc>
                      </w:tr>
                    </w:tbl>
                    <w:p w:rsidR="00EE1588" w:rsidRPr="00942B33" w:rsidRDefault="00EE1588" w:rsidP="00E15B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Yu Gothic UI Light" w:eastAsia="Yu Gothic UI Light" w:hAnsi="Yu Gothic UI Light" w:cs="Segoe UI"/>
                          <w:sz w:val="16"/>
                          <w:szCs w:val="16"/>
                        </w:rPr>
                      </w:pPr>
                      <w:r w:rsidRPr="00942B33">
                        <w:rPr>
                          <w:rFonts w:ascii="Yu Gothic UI Light" w:eastAsia="Yu Gothic UI Light" w:hAnsi="Yu Gothic UI Light" w:cs="Segoe UI"/>
                          <w:color w:val="000000" w:themeColor="text1"/>
                          <w:sz w:val="16"/>
                          <w:szCs w:val="16"/>
                        </w:rPr>
                        <w:t>*</w:t>
                      </w:r>
                      <w:r w:rsidRPr="00942B33">
                        <w:rPr>
                          <w:rFonts w:ascii="Yu Gothic UI Light" w:eastAsia="Yu Gothic UI Light" w:hAnsi="Yu Gothic UI Light" w:cs="Segoe UI"/>
                          <w:b/>
                          <w:bCs/>
                          <w:iCs/>
                          <w:sz w:val="16"/>
                          <w:szCs w:val="16"/>
                        </w:rPr>
                        <w:t xml:space="preserve">Alimentos Região 2 - </w:t>
                      </w:r>
                      <w:r w:rsidRPr="00942B33">
                        <w:rPr>
                          <w:rFonts w:ascii="Yu Gothic UI Light" w:eastAsia="Yu Gothic UI Light" w:hAnsi="Yu Gothic UI Light" w:cs="Segoe UI"/>
                          <w:sz w:val="16"/>
                          <w:szCs w:val="16"/>
                        </w:rPr>
                        <w:t>PE, BA, CE, RN, AL, SE, AM, PA, PI, TO, AC, PB, RO, AM, RR e MA</w:t>
                      </w:r>
                    </w:p>
                    <w:p w:rsidR="00EE1588" w:rsidRPr="00942B33" w:rsidRDefault="00EE1588" w:rsidP="004F5FF8">
                      <w:pPr>
                        <w:rPr>
                          <w:rFonts w:ascii="Yu Gothic UI Light" w:eastAsia="Yu Gothic UI Light" w:hAnsi="Yu Gothic UI Light" w:cs="Segoe UI"/>
                          <w:color w:val="000000" w:themeColor="text1"/>
                          <w:sz w:val="20"/>
                          <w:szCs w:val="20"/>
                        </w:rPr>
                      </w:pPr>
                      <w:r w:rsidRPr="00942B33">
                        <w:rPr>
                          <w:rFonts w:ascii="Yu Gothic UI Light" w:eastAsia="Yu Gothic UI Light" w:hAnsi="Yu Gothic UI Light" w:cs="Segoe UI"/>
                          <w:color w:val="000000" w:themeColor="text1"/>
                          <w:sz w:val="20"/>
                          <w:szCs w:val="20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5E1" w:rsidRPr="00C82199">
        <w:rPr>
          <w:rFonts w:ascii="Yu Gothic UI Semilight" w:eastAsia="Yu Gothic UI Semilight" w:hAnsi="Yu Gothic UI Semilight" w:cs="Segoe UI"/>
          <w:b/>
          <w:color w:val="000000" w:themeColor="text1"/>
          <w:sz w:val="18"/>
          <w:szCs w:val="18"/>
        </w:rPr>
        <w:t>Introdução</w:t>
      </w:r>
    </w:p>
    <w:p w:rsidR="004F5FF8" w:rsidRPr="00C82199" w:rsidRDefault="004F5FF8" w:rsidP="003444A0">
      <w:pPr>
        <w:tabs>
          <w:tab w:val="left" w:pos="9781"/>
        </w:tabs>
        <w:spacing w:line="240" w:lineRule="auto"/>
        <w:ind w:right="-2"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O Curso de Ciências Econômicas da Universidade Federal do </w:t>
      </w:r>
      <w:r w:rsidR="00995D6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Delta do Parnaíba, campus Ministro Reis Velloso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, divulga o </w:t>
      </w:r>
      <w:r w:rsidR="00995D6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Índice da Cesta B</w:t>
      </w:r>
      <w:r w:rsidR="007F163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ásica para a cidade 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de </w:t>
      </w:r>
      <w:r w:rsidR="00990DC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Luís Correia</w:t>
      </w:r>
      <w:r w:rsidR="00177640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-PI</w:t>
      </w:r>
      <w:r w:rsidR="0046692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para o mês de </w:t>
      </w:r>
      <w:r w:rsidR="00C84A8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outubro</w:t>
      </w:r>
      <w:r w:rsidR="0046692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de 2020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, esperando contribuir para o bom planejamento d</w:t>
      </w:r>
      <w:r w:rsidR="007F163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as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políticas púb</w:t>
      </w:r>
      <w:r w:rsidR="00C2723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l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icas e para a organização das finanças privadas.</w:t>
      </w:r>
    </w:p>
    <w:p w:rsidR="007352D8" w:rsidRPr="00C82199" w:rsidRDefault="004F5FF8" w:rsidP="003444A0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Foi </w:t>
      </w:r>
      <w:r w:rsidR="00A9692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utilizada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a metodologia de coleta e tratamento de dados elaborada pelo Departamento Intersindical de Estatística e Estudos Econômicos – DIEESE, lançada em janeiro de 20</w:t>
      </w:r>
      <w:r w:rsidR="00995D6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16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. </w:t>
      </w:r>
      <w:r w:rsidR="00A9692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A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</w:t>
      </w:r>
      <w:r w:rsidR="00A9692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Cesta Básica de Alimentos Nacional </w:t>
      </w:r>
      <w:r w:rsidR="006B5500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– ver tabela 1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, foi a definida pelo decre</w:t>
      </w:r>
      <w:r w:rsidR="00A9692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to-lei nº 399, de abril de 1938. </w:t>
      </w:r>
      <w:r w:rsidR="00CF73C9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</w:t>
      </w:r>
      <w:r w:rsidR="00A9692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Piauí está inserido na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região 2</w:t>
      </w:r>
      <w:r w:rsidR="00CF73C9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7352D8" w:rsidRPr="00C82199" w:rsidRDefault="00BD6621" w:rsidP="003444A0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Os </w:t>
      </w:r>
      <w:r w:rsidR="006B5500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valores apresentados </w:t>
      </w:r>
      <w:r w:rsidR="00A5625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na tabela 3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refletem o custo médio mensal familiar com cada produto da Cesta Básica</w:t>
      </w:r>
      <w:r w:rsidR="00A5625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e as análises derivadas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  <w:r w:rsidR="00FD0FAE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O levantamento foi realizado no período de</w:t>
      </w:r>
      <w:r w:rsidR="00E63A1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1</w:t>
      </w:r>
      <w:r w:rsidR="00AC760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9</w:t>
      </w:r>
      <w:r w:rsidR="00D34133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a 30</w:t>
      </w:r>
      <w:r w:rsidR="0083122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de </w:t>
      </w:r>
      <w:r w:rsidR="00D34133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setembro</w:t>
      </w:r>
      <w:r w:rsidR="0083122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  <w:r w:rsidR="00FD0FAE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Foram destacados o preço médio, o </w:t>
      </w:r>
      <w:r w:rsidR="002C4D2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preço mínimo, o 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maior e o menor preço coletado e a sua variação percentual</w:t>
      </w:r>
      <w:r w:rsidR="003944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, além das variações absolutas e percentuais verificadas entre </w:t>
      </w:r>
      <w:r w:rsidR="00B74D3F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jul</w:t>
      </w:r>
      <w:r w:rsidR="001A5B0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ho</w:t>
      </w:r>
      <w:r w:rsidR="003944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e </w:t>
      </w:r>
      <w:r w:rsidR="00B74D3F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agosto</w:t>
      </w:r>
      <w:r w:rsidR="001A5B0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e os acumulados entre o início dos levantamentos, em abril</w:t>
      </w:r>
      <w:r w:rsidR="00320D2E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de 2020</w:t>
      </w:r>
      <w:r w:rsidR="001A5B0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, a </w:t>
      </w:r>
      <w:r w:rsidR="00D34133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setembro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E63A12" w:rsidRPr="00C82199" w:rsidRDefault="00B74D3F" w:rsidP="003444A0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Devido a pandemia de Coronavírus/COVID-19, a coleta de dados foi realizada em regime de contingência. Levantamentos posteriores recuperarão o previsto no modelo original.</w:t>
      </w:r>
    </w:p>
    <w:p w:rsidR="00E705E1" w:rsidRPr="00C82199" w:rsidRDefault="00E705E1" w:rsidP="003444A0">
      <w:pPr>
        <w:tabs>
          <w:tab w:val="left" w:pos="6237"/>
          <w:tab w:val="left" w:pos="9781"/>
        </w:tabs>
        <w:spacing w:line="240" w:lineRule="auto"/>
        <w:ind w:right="-2"/>
        <w:jc w:val="both"/>
        <w:rPr>
          <w:rFonts w:ascii="Yu Gothic UI Semilight" w:eastAsia="Yu Gothic UI Semilight" w:hAnsi="Yu Gothic UI Semilight" w:cs="Segoe UI"/>
          <w:b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b/>
          <w:color w:val="000000" w:themeColor="text1"/>
          <w:sz w:val="18"/>
          <w:szCs w:val="18"/>
        </w:rPr>
        <w:t>Resultados</w:t>
      </w:r>
    </w:p>
    <w:p w:rsidR="001A5B02" w:rsidRPr="00C82199" w:rsidRDefault="001A5B02" w:rsidP="001A5B02">
      <w:pPr>
        <w:tabs>
          <w:tab w:val="left" w:pos="1701"/>
        </w:tabs>
        <w:spacing w:line="240" w:lineRule="auto"/>
        <w:ind w:firstLine="709"/>
        <w:jc w:val="both"/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O custo médio da Cesta Básica de Alimentos em Luís Correia-PI em </w:t>
      </w:r>
      <w:r w:rsidR="00C84A86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outubro</w:t>
      </w:r>
      <w:r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 de 2020 foi </w:t>
      </w:r>
      <w:r w:rsidR="00B74D3F" w:rsidRPr="00C82199">
        <w:rPr>
          <w:rFonts w:ascii="Yu Gothic UI Semilight" w:eastAsia="Yu Gothic UI Semilight" w:hAnsi="Yu Gothic UI Semilight" w:cs="Segoe UI Historic"/>
          <w:b/>
          <w:color w:val="000000" w:themeColor="text1"/>
          <w:sz w:val="18"/>
          <w:szCs w:val="18"/>
        </w:rPr>
        <w:t>R$</w:t>
      </w:r>
      <w:r w:rsidR="007F163A" w:rsidRPr="00C82199">
        <w:rPr>
          <w:rFonts w:ascii="Yu Gothic UI Semilight" w:eastAsia="Yu Gothic UI Semilight" w:hAnsi="Yu Gothic UI Semilight" w:cs="Segoe UI Historic"/>
          <w:b/>
          <w:color w:val="000000" w:themeColor="text1"/>
          <w:sz w:val="18"/>
          <w:szCs w:val="18"/>
        </w:rPr>
        <w:t>4</w:t>
      </w:r>
      <w:r w:rsidR="00C84A86" w:rsidRPr="00C82199">
        <w:rPr>
          <w:rFonts w:ascii="Yu Gothic UI Semilight" w:eastAsia="Yu Gothic UI Semilight" w:hAnsi="Yu Gothic UI Semilight" w:cs="Segoe UI Historic"/>
          <w:b/>
          <w:color w:val="000000" w:themeColor="text1"/>
          <w:sz w:val="18"/>
          <w:szCs w:val="18"/>
        </w:rPr>
        <w:t>26,61</w:t>
      </w:r>
      <w:r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; um </w:t>
      </w:r>
      <w:r w:rsidR="00B74D3F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aumento</w:t>
      </w:r>
      <w:r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 </w:t>
      </w:r>
      <w:r w:rsidR="00C84A86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absoluto de R$15,57; ou 3,79</w:t>
      </w:r>
      <w:r w:rsidR="00B74D3F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% em relação a </w:t>
      </w:r>
      <w:r w:rsidR="00C84A86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setembro</w:t>
      </w:r>
      <w:r w:rsidR="007F163A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 e um </w:t>
      </w:r>
      <w:r w:rsidR="00C84A86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aumento acumulado de 2,82</w:t>
      </w:r>
      <w:r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% </w:t>
      </w:r>
      <w:r w:rsidR="007F163A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de</w:t>
      </w:r>
      <w:r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 abril</w:t>
      </w:r>
      <w:r w:rsidR="00AB203A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, </w:t>
      </w:r>
      <w:r w:rsidR="007F163A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quando</w:t>
      </w:r>
      <w:r w:rsidR="00AB203A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 foram iniciados os levantamentos,</w:t>
      </w:r>
      <w:r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 a </w:t>
      </w:r>
      <w:r w:rsidR="00C84A86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outubro</w:t>
      </w:r>
      <w:r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.</w:t>
      </w:r>
    </w:p>
    <w:p w:rsidR="00E459AB" w:rsidRPr="00C82199" w:rsidRDefault="001A5B02" w:rsidP="001A5B02">
      <w:pPr>
        <w:spacing w:line="240" w:lineRule="auto"/>
        <w:ind w:right="-2"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O custo mínimo da Cesta, onde se considera o menor preço col</w:t>
      </w:r>
      <w:r w:rsidR="00C84A86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etado de cada item, foi R$373,19</w:t>
      </w:r>
      <w:r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; um </w:t>
      </w:r>
      <w:r w:rsidR="00B74D3F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aumento</w:t>
      </w:r>
      <w:r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 absolut</w:t>
      </w:r>
      <w:r w:rsidR="00B74D3F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o</w:t>
      </w:r>
      <w:r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 de</w:t>
      </w:r>
      <w:r w:rsidR="00C84A86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 R$13,26; ou 3,68</w:t>
      </w:r>
      <w:r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% em relação a </w:t>
      </w:r>
      <w:r w:rsidR="00C84A86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setembro e uma queda acumulada de -0,83</w:t>
      </w:r>
      <w:r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 xml:space="preserve">% de abril a </w:t>
      </w:r>
      <w:r w:rsidR="00C84A86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outubro</w:t>
      </w:r>
      <w:r w:rsidR="006B17D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4607A0" w:rsidRPr="00C82199" w:rsidRDefault="004607A0" w:rsidP="004607A0">
      <w:pPr>
        <w:spacing w:line="240" w:lineRule="auto"/>
        <w:ind w:right="-2" w:firstLine="709"/>
        <w:jc w:val="both"/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 Historic" w:hint="eastAsia"/>
          <w:color w:val="000000" w:themeColor="text1"/>
          <w:sz w:val="18"/>
          <w:szCs w:val="18"/>
        </w:rPr>
        <w:t xml:space="preserve">A diferença entre os custos médio e mínimo da Cesta </w:t>
      </w:r>
      <w:r w:rsidR="00C84A86" w:rsidRPr="00C82199">
        <w:rPr>
          <w:rFonts w:ascii="Yu Gothic UI Semilight" w:eastAsia="Yu Gothic UI Semilight" w:hAnsi="Yu Gothic UI Semilight" w:cs="Segoe UI Historic" w:hint="eastAsia"/>
          <w:color w:val="000000" w:themeColor="text1"/>
          <w:sz w:val="18"/>
          <w:szCs w:val="18"/>
        </w:rPr>
        <w:t>foi de R$53,41; ou -12,52%; com uma variação de 4,52</w:t>
      </w:r>
      <w:r w:rsidRPr="00C82199">
        <w:rPr>
          <w:rFonts w:ascii="Yu Gothic UI Semilight" w:eastAsia="Yu Gothic UI Semilight" w:hAnsi="Yu Gothic UI Semilight" w:cs="Segoe UI Historic" w:hint="eastAsia"/>
          <w:color w:val="000000" w:themeColor="text1"/>
          <w:sz w:val="18"/>
          <w:szCs w:val="18"/>
        </w:rPr>
        <w:t xml:space="preserve">% entre </w:t>
      </w:r>
      <w:r w:rsidR="00C84A86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setembro</w:t>
      </w:r>
      <w:r w:rsidRPr="00C82199">
        <w:rPr>
          <w:rFonts w:ascii="Yu Gothic UI Semilight" w:eastAsia="Yu Gothic UI Semilight" w:hAnsi="Yu Gothic UI Semilight" w:cs="Segoe UI Historic" w:hint="eastAsia"/>
          <w:color w:val="000000" w:themeColor="text1"/>
          <w:sz w:val="18"/>
          <w:szCs w:val="18"/>
        </w:rPr>
        <w:t xml:space="preserve"> e </w:t>
      </w:r>
      <w:r w:rsidR="00C84A86" w:rsidRPr="00C82199">
        <w:rPr>
          <w:rFonts w:ascii="Yu Gothic UI Semilight" w:eastAsia="Yu Gothic UI Semilight" w:hAnsi="Yu Gothic UI Semilight" w:cs="Segoe UI Historic"/>
          <w:color w:val="000000" w:themeColor="text1"/>
          <w:sz w:val="18"/>
          <w:szCs w:val="18"/>
        </w:rPr>
        <w:t>outubro</w:t>
      </w:r>
      <w:r w:rsidRPr="00C82199">
        <w:rPr>
          <w:rFonts w:ascii="Yu Gothic UI Semilight" w:eastAsia="Yu Gothic UI Semilight" w:hAnsi="Yu Gothic UI Semilight" w:cs="Segoe UI Historic" w:hint="eastAsia"/>
          <w:color w:val="000000" w:themeColor="text1"/>
          <w:sz w:val="18"/>
          <w:szCs w:val="18"/>
        </w:rPr>
        <w:t>.</w:t>
      </w:r>
    </w:p>
    <w:p w:rsidR="00AD728B" w:rsidRPr="00C82199" w:rsidRDefault="00AD728B" w:rsidP="004607A0">
      <w:pPr>
        <w:spacing w:line="240" w:lineRule="auto"/>
        <w:ind w:right="-2"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Os gráficos apresentados foram elaborados com base nos dados da pesquisa.</w:t>
      </w:r>
    </w:p>
    <w:p w:rsidR="002C0532" w:rsidRPr="00C82199" w:rsidRDefault="00151148" w:rsidP="003444A0">
      <w:pPr>
        <w:tabs>
          <w:tab w:val="left" w:pos="1701"/>
        </w:tabs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900928" behindDoc="1" locked="0" layoutInCell="1" allowOverlap="1" wp14:anchorId="2E50EA38" wp14:editId="71364341">
            <wp:simplePos x="0" y="0"/>
            <wp:positionH relativeFrom="column">
              <wp:posOffset>1687063</wp:posOffset>
            </wp:positionH>
            <wp:positionV relativeFrom="paragraph">
              <wp:posOffset>68250</wp:posOffset>
            </wp:positionV>
            <wp:extent cx="4599305" cy="2457450"/>
            <wp:effectExtent l="0" t="0" r="10795" b="0"/>
            <wp:wrapTight wrapText="bothSides">
              <wp:wrapPolygon edited="0">
                <wp:start x="0" y="0"/>
                <wp:lineTo x="0" y="21433"/>
                <wp:lineTo x="21561" y="21433"/>
                <wp:lineTo x="21561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61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A pesquisa da Cesta básica do DIEESE referente a </w:t>
      </w:r>
      <w:r w:rsidR="0031427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outubro</w:t>
      </w:r>
      <w:r w:rsidR="00D8061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de 2020, também em regime de contin</w:t>
      </w:r>
      <w:r w:rsidR="00C663B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gência, foi lançada em 06</w:t>
      </w:r>
      <w:r w:rsidR="008673DF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de </w:t>
      </w:r>
      <w:r w:rsidR="0031427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novembro</w:t>
      </w:r>
      <w:r w:rsidR="00D8061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. Segundo os resultados, a Cesta Básica em Luís Correia é mais barata do que </w:t>
      </w:r>
      <w:r w:rsidR="001A5B0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todas as</w:t>
      </w:r>
      <w:r w:rsidR="00D8061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dezesse</w:t>
      </w:r>
      <w:r w:rsidR="0047314F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te</w:t>
      </w:r>
      <w:r w:rsidR="00D8061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capitais pesquisadas pela entidade. </w:t>
      </w:r>
      <w:r w:rsidR="00845781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Natal-RN</w:t>
      </w:r>
      <w:r w:rsidR="00D8061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é a que mais se aproxima, com R$</w:t>
      </w:r>
      <w:r w:rsidR="0031427A" w:rsidRPr="00C82199">
        <w:rPr>
          <w:rFonts w:ascii="Yu Gothic UI Semilight" w:eastAsia="Yu Gothic UI Semilight" w:hAnsi="Yu Gothic UI Semilight"/>
          <w:color w:val="000000" w:themeColor="text1"/>
          <w:sz w:val="18"/>
          <w:szCs w:val="18"/>
        </w:rPr>
        <w:t xml:space="preserve"> 436,73</w:t>
      </w:r>
      <w:r w:rsidR="00D8061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. Teresina continua não sendo pesquisada. </w:t>
      </w:r>
      <w:r w:rsidR="00A94D9B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A pesquisa realizada pelo Programa Estadual de Proteção e Defesa do Consumidor - PROCON MPPI, em parceria com o Procon Municipal de Teresina, utiliza metodologia e lista de produtos incompatíveis com as adotadas pelo Dieese, sendo portanto inviável a elaboração de análises comparativas.</w:t>
      </w:r>
      <w:r w:rsidR="003F7FE4"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t xml:space="preserve"> </w:t>
      </w:r>
    </w:p>
    <w:p w:rsidR="00D30A73" w:rsidRPr="00C82199" w:rsidRDefault="00F17A7F" w:rsidP="003444A0">
      <w:pPr>
        <w:tabs>
          <w:tab w:val="left" w:pos="1701"/>
        </w:tabs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02976" behindDoc="1" locked="0" layoutInCell="1" allowOverlap="1" wp14:anchorId="49BEF772" wp14:editId="3E279A5E">
            <wp:simplePos x="0" y="0"/>
            <wp:positionH relativeFrom="column">
              <wp:posOffset>1682453</wp:posOffset>
            </wp:positionH>
            <wp:positionV relativeFrom="paragraph">
              <wp:posOffset>40409</wp:posOffset>
            </wp:positionV>
            <wp:extent cx="4600575" cy="2534920"/>
            <wp:effectExtent l="0" t="0" r="9525" b="17780"/>
            <wp:wrapTight wrapText="bothSides">
              <wp:wrapPolygon edited="0">
                <wp:start x="0" y="0"/>
                <wp:lineTo x="0" y="21589"/>
                <wp:lineTo x="21555" y="21589"/>
                <wp:lineTo x="21555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B0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 custo da</w:t>
      </w:r>
      <w:r w:rsidR="002C053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Cesta Básica em </w:t>
      </w:r>
      <w:r w:rsidR="00D8061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Luís Correia</w:t>
      </w:r>
      <w:r w:rsidR="002C053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</w:t>
      </w:r>
      <w:r w:rsidR="00E47609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é</w:t>
      </w:r>
      <w:r w:rsidR="00845781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R$</w:t>
      </w:r>
      <w:r w:rsidR="0031427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7,58</w:t>
      </w:r>
      <w:r w:rsidR="001A5B0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; ou </w:t>
      </w:r>
      <w:r w:rsidR="0031427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1,81</w:t>
      </w:r>
      <w:r w:rsidR="0000680B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%</w:t>
      </w:r>
      <w:r w:rsidR="00651853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;</w:t>
      </w:r>
      <w:r w:rsidR="0000680B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</w:t>
      </w:r>
      <w:r w:rsidR="00845781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maior</w:t>
      </w:r>
      <w:r w:rsidR="00E47609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que </w:t>
      </w:r>
      <w:r w:rsidR="00651853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 verificado</w:t>
      </w:r>
      <w:r w:rsidR="00E379B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na cidade de </w:t>
      </w:r>
      <w:r w:rsidR="00D8061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Parnaíba</w:t>
      </w:r>
      <w:r w:rsidR="006B17D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,</w:t>
      </w:r>
      <w:r w:rsidR="00E379B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R$</w:t>
      </w:r>
      <w:r w:rsidR="0031427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419,03</w:t>
      </w:r>
      <w:r w:rsidR="00C6455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7E2DDE" w:rsidRPr="00C82199" w:rsidRDefault="00C64558" w:rsidP="003444A0">
      <w:pPr>
        <w:tabs>
          <w:tab w:val="left" w:pos="1701"/>
        </w:tabs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É</w:t>
      </w:r>
      <w:r w:rsidR="0031427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R$45,03</w:t>
      </w:r>
      <w:r w:rsidR="001A5B0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; ou</w:t>
      </w:r>
      <w:r w:rsidR="00AA002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         </w:t>
      </w:r>
      <w:r w:rsidR="0031427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   </w:t>
      </w:r>
      <w:r w:rsidR="00AA002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   </w:t>
      </w:r>
      <w:r w:rsidR="00ED093B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-</w:t>
      </w:r>
      <w:r w:rsidR="0031427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9,55</w:t>
      </w:r>
      <w:r w:rsidR="00651853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%, menor que o</w:t>
      </w:r>
      <w:r w:rsidR="006B17D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verificada na cidade de Ilha Grande de Santa Isabel no mesmo período</w:t>
      </w:r>
      <w:r w:rsidR="0031427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, R$471,64</w:t>
      </w:r>
      <w:r w:rsidR="007E2DDE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D171AE" w:rsidRPr="00C82199" w:rsidRDefault="00C64558" w:rsidP="003611B1">
      <w:pPr>
        <w:tabs>
          <w:tab w:val="left" w:pos="1701"/>
          <w:tab w:val="left" w:pos="9214"/>
        </w:tabs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É também</w:t>
      </w:r>
      <w:r w:rsidR="0031427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R$43,75; ou -9,30</w:t>
      </w:r>
      <w:r w:rsidR="00651853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% menor que o verificado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na cidade de Cajueiro da Praia no mesmo período</w:t>
      </w:r>
      <w:r w:rsidR="002F413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, </w:t>
      </w:r>
      <w:r w:rsidR="0031427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R$470,35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3611B1" w:rsidRPr="00C82199" w:rsidRDefault="00D171AE" w:rsidP="00D171AE">
      <w:pPr>
        <w:tabs>
          <w:tab w:val="left" w:pos="1701"/>
        </w:tabs>
        <w:spacing w:line="240" w:lineRule="auto"/>
        <w:ind w:firstLine="709"/>
        <w:jc w:val="both"/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A Carne Bovina 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apresentou em outubro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 u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m custo médio mensal de R$132,72; um aumento de 2,67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% em relação a 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setembro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, além de 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uma acréscimo absoluto de R$3,46 e um aumento acumulado de 16,84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% entre abril e 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outubro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 de 2020, se considerados os 4,5kg consumidos em média por família mensalmente, previstos na Tabela 1. O custo do produto em relação ao c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usto médio da Cesta variou -1,07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% em relação a 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setembro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, te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ve um aumento acumulado de 13,64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% de abril a 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outubro de 2020 e representa 31,11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% do custo total da cesta de alimentos, o maior dentre todos os itens considerados. Se considerado o menor preço praticado entre os estabelecimentos pesquisados, o custo da Carne Bovina em 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outubro foi de R$112,46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; um acréscimo de </w:t>
      </w:r>
      <w:r w:rsidR="003611B1"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894784" behindDoc="1" locked="0" layoutInCell="1" allowOverlap="1" wp14:anchorId="1059ECB5" wp14:editId="64DA8616">
            <wp:simplePos x="0" y="0"/>
            <wp:positionH relativeFrom="column">
              <wp:posOffset>2860040</wp:posOffset>
            </wp:positionH>
            <wp:positionV relativeFrom="paragraph">
              <wp:posOffset>38100</wp:posOffset>
            </wp:positionV>
            <wp:extent cx="34099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79" y="21478"/>
                <wp:lineTo x="21479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R$2,25 ou 2,04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% em relação a 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setembro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 e um aumento acu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mulado de 13,65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% de abril a 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outubro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. A diferença entre os cust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os médio e mínimo aumentou R$1,21; ou 6,34%; passando de R$19,06 em setembro para R$20,27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 em 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outubro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. O custo em relação ao salário m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ínimo sofreu um acréscimo de 0,33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 ponto percentual (p.p.), o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u 2,67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%, em relação a 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setembro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, </w:t>
      </w:r>
      <w:r w:rsidR="00AF2879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>passando de 12,37 para 12,70</w:t>
      </w:r>
      <w:r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%, 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um aumento acumulado de 16,84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% de abril a 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outubro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 de 2020. Se considerado o salário mínimo líquido (já descontados o INSS e IR, se for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 o caso), o acréscimo foi de 0,36p.p., ou 2,67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%, passando de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 13,45 para 13,80%, um aumento acumulado de 16,84</w:t>
      </w:r>
      <w:r w:rsidR="003611B1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% de abril a </w:t>
      </w:r>
      <w:r w:rsidR="00AF287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outubro</w:t>
      </w:r>
      <w:r w:rsidR="003611B1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 de 2020.</w:t>
      </w:r>
    </w:p>
    <w:p w:rsidR="00D95368" w:rsidRPr="00C82199" w:rsidRDefault="00C14D81" w:rsidP="00D171AE">
      <w:pPr>
        <w:tabs>
          <w:tab w:val="left" w:pos="1701"/>
        </w:tabs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17312" behindDoc="1" locked="0" layoutInCell="1" allowOverlap="1" wp14:anchorId="2E56EBE2" wp14:editId="57A41A89">
            <wp:simplePos x="0" y="0"/>
            <wp:positionH relativeFrom="column">
              <wp:posOffset>28022</wp:posOffset>
            </wp:positionH>
            <wp:positionV relativeFrom="paragraph">
              <wp:posOffset>64424</wp:posOffset>
            </wp:positionV>
            <wp:extent cx="34099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79" y="21478"/>
                <wp:lineTo x="21479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C3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 preço médio foi R$29,49; R$0,77</w:t>
      </w:r>
      <w:r w:rsidR="00D171AE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 maior que o constatado em </w:t>
      </w:r>
      <w:r w:rsidR="00372C3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setembro, R$28,73</w:t>
      </w:r>
      <w:r w:rsidR="00D171AE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; cor</w:t>
      </w:r>
      <w:r w:rsidR="00372C3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respondendo a um aumento de 2,67</w:t>
      </w:r>
      <w:r w:rsidR="00D171AE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% e</w:t>
      </w:r>
      <w:r w:rsidR="00372C3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 a um aumento acumulado de 16,84</w:t>
      </w:r>
      <w:r w:rsidR="00D171AE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% de abril a </w:t>
      </w:r>
      <w:r w:rsidR="00372C3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outubro</w:t>
      </w:r>
      <w:r w:rsidR="00D171AE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 de 2020. A diferença entre o maior e o menor preço coletado é um importante indicativo de concorrência. No caso da Carne Bovina, em </w:t>
      </w:r>
      <w:r w:rsidR="00372C3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setembro foi de 34,71%, e passou a 28,05</w:t>
      </w:r>
      <w:r w:rsidR="00D171AE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% em </w:t>
      </w:r>
      <w:r w:rsidR="00372C3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outubro</w:t>
      </w:r>
      <w:r w:rsidR="00D171AE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, indicando </w:t>
      </w:r>
      <w:r w:rsidR="00372C3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queda significativa</w:t>
      </w:r>
      <w:r w:rsidR="00D171AE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 na concorrência do produto, potencialmente </w:t>
      </w:r>
      <w:r w:rsidR="00372C3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prejudicial</w:t>
      </w:r>
      <w:r w:rsidR="00D171AE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 ao consumidor</w:t>
      </w:r>
      <w:r w:rsidR="00051A9A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 </w:t>
      </w:r>
    </w:p>
    <w:p w:rsidR="005A06CE" w:rsidRPr="00C82199" w:rsidRDefault="005A06CE" w:rsidP="002A7A03">
      <w:pPr>
        <w:spacing w:line="240" w:lineRule="auto"/>
        <w:ind w:firstLine="709"/>
        <w:jc w:val="both"/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96832" behindDoc="1" locked="0" layoutInCell="1" allowOverlap="1" wp14:anchorId="4D9AE704" wp14:editId="4A9D57D9">
            <wp:simplePos x="0" y="0"/>
            <wp:positionH relativeFrom="column">
              <wp:posOffset>2859116</wp:posOffset>
            </wp:positionH>
            <wp:positionV relativeFrom="paragraph">
              <wp:posOffset>87630</wp:posOffset>
            </wp:positionV>
            <wp:extent cx="3409315" cy="1685925"/>
            <wp:effectExtent l="0" t="0" r="635" b="9525"/>
            <wp:wrapTight wrapText="bothSides">
              <wp:wrapPolygon edited="0">
                <wp:start x="0" y="0"/>
                <wp:lineTo x="0" y="21478"/>
                <wp:lineTo x="21483" y="21478"/>
                <wp:lineTo x="21483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BC1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 Leite Integral apresentou em outubro um custo médio mensal de R$29,40; um acréscimo de R$0,50; ou 1,73% em relação a setembro e um aumento acumulado de 36,17% de abril a outubro de 2020. O custo do produto representa 6,89% do custo total da cesta de alimentos, variou -1,98% em relação a setembro e teve um aumento acumulado de 32,44% de abril a outubro; se considerados os seis litros consumidos em média por família mensalmente, previstos na Tabela 1. Se considerado o menor preço praticado, o custo do Leite Integral em outubro foi de R$26,34; um acréscimo de R$1,44 ou 5,78% em relação a setembro e um aumento acumulado de 46,82% de abril a outubro de 2020. A diferença entre os custos médio e mínimo diminuiu R$0,94; ou -23,50%; passando de R$4,00 em setembro para R$3,06 em outubro. O custo em relação ao salário mínimo sofreu um acréscimo de 0,05p.p., ou 1,73%, em relação a setembro, passando de 2,77 para 2,81%, um aumento acumulado de 36,17% de abril a outubro de 2020. Se considerado o salário mínimo líquido, o acréscimo foi de 0,05p.p., ou 1,73%, passando de 3,01 para 3,06%, um aumento acumulado de 36,17% de abril a outubro de 2020</w:t>
      </w:r>
      <w:r w:rsidR="007D112F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.</w:t>
      </w:r>
    </w:p>
    <w:p w:rsidR="005A06CE" w:rsidRPr="00C82199" w:rsidRDefault="005A06CE" w:rsidP="002A7A03">
      <w:pPr>
        <w:spacing w:line="240" w:lineRule="auto"/>
        <w:ind w:firstLine="709"/>
        <w:jc w:val="both"/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</w:pPr>
    </w:p>
    <w:p w:rsidR="00A33BC1" w:rsidRPr="00C82199" w:rsidRDefault="00C05CA4" w:rsidP="00A33BC1">
      <w:pPr>
        <w:spacing w:line="240" w:lineRule="auto"/>
        <w:ind w:firstLine="709"/>
        <w:jc w:val="both"/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919360" behindDoc="1" locked="0" layoutInCell="1" allowOverlap="1" wp14:anchorId="1140000B" wp14:editId="5F4E6229">
            <wp:simplePos x="0" y="0"/>
            <wp:positionH relativeFrom="column">
              <wp:posOffset>288</wp:posOffset>
            </wp:positionH>
            <wp:positionV relativeFrom="paragraph">
              <wp:posOffset>40005</wp:posOffset>
            </wp:positionV>
            <wp:extent cx="3409315" cy="1685925"/>
            <wp:effectExtent l="0" t="0" r="635" b="9525"/>
            <wp:wrapTight wrapText="bothSides">
              <wp:wrapPolygon edited="0">
                <wp:start x="0" y="0"/>
                <wp:lineTo x="0" y="21478"/>
                <wp:lineTo x="21483" y="21478"/>
                <wp:lineTo x="21483" y="0"/>
                <wp:lineTo x="0" y="0"/>
              </wp:wrapPolygon>
            </wp:wrapTight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BC1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 preço médio foi R$4,90 por litro; R$0,08 maior que o constatado em setembro, R$4,82; correspondendo a um acréscimo de 1,73% e a um aumento acumulado de 36,17% de abril a outubro de 2020. A diferença entre o maior e o menor preço coletado do Leite Integral, que em setembro foi de 1,34%, passou a 1,10% em outubro, indicando diminuição na concorrência do produto, potencialmente prejudicial ao consumidor.</w:t>
      </w:r>
    </w:p>
    <w:p w:rsidR="00E14D09" w:rsidRPr="00C82199" w:rsidRDefault="00E14D09" w:rsidP="00A33BC1">
      <w:pPr>
        <w:spacing w:line="240" w:lineRule="auto"/>
        <w:ind w:firstLine="709"/>
        <w:jc w:val="both"/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</w:pPr>
    </w:p>
    <w:p w:rsidR="00C05CA4" w:rsidRPr="00C82199" w:rsidRDefault="00C05CA4" w:rsidP="008D34CD">
      <w:pPr>
        <w:spacing w:line="240" w:lineRule="auto"/>
        <w:ind w:firstLine="709"/>
        <w:jc w:val="both"/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98880" behindDoc="1" locked="0" layoutInCell="1" allowOverlap="1" wp14:anchorId="5D18B9A0" wp14:editId="18961D33">
            <wp:simplePos x="0" y="0"/>
            <wp:positionH relativeFrom="column">
              <wp:posOffset>2881300</wp:posOffset>
            </wp:positionH>
            <wp:positionV relativeFrom="paragraph">
              <wp:posOffset>60119</wp:posOffset>
            </wp:positionV>
            <wp:extent cx="3399790" cy="1691640"/>
            <wp:effectExtent l="0" t="0" r="10160" b="3810"/>
            <wp:wrapTight wrapText="bothSides">
              <wp:wrapPolygon edited="0">
                <wp:start x="0" y="0"/>
                <wp:lineTo x="0" y="21405"/>
                <wp:lineTo x="21544" y="21405"/>
                <wp:lineTo x="21544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F94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 Feijão apresentou em outubro um custo médio mensal de R$30,44; um decréscimo de R$0,11; ou -0,37% em relação a setembro e uma queda acumulada de -9,44% de abril a outubro de 2020. O custo do produto representa 7,14% do custo total da cesta de alimentos, variou -4,00% em relação a setembro e teve uma queda acumulada de -11,92% de abril a outubro; se considerados os 4,5kg consumidos em média por família mensalmente, previstos na Tabela 1. Se considerado o menor preço praticado, o custo do Feijão em outubro foi de R$26,06; um acréscimo de R$2,25 ou 9,45% em relação a setembro e uma queda acumulada de -7,96% de abril a outubro de 2020. A diferença entre os custos médio e mínimo diminuiu R$2,36; ou -35,00%; passando de R$6,75 em setembro para R$4,39 em outubro. O custo em relação ao salário mínimo sofreu um decréscimo de -0,01p.p., ou -0,37%, em relação a setembro, passando de 2,92 para 2,91%, uma queda acumulada de -9,44% de abril a outubro de 2020. Se considerado o salário mínimo líquido, o decréscimo foi de -0,01p.p., ou -0,37%, passando de 3,18 para 3,17%, uma queda acumulada de -28,74% de abril a outubro de 2020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.</w:t>
      </w:r>
    </w:p>
    <w:p w:rsidR="00AD6C88" w:rsidRPr="00C82199" w:rsidRDefault="00C05CA4" w:rsidP="008D34CD">
      <w:pPr>
        <w:spacing w:line="240" w:lineRule="auto"/>
        <w:ind w:firstLine="709"/>
        <w:jc w:val="both"/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21408" behindDoc="1" locked="0" layoutInCell="1" allowOverlap="1" wp14:anchorId="51EADA7C" wp14:editId="39CCA04A">
            <wp:simplePos x="0" y="0"/>
            <wp:positionH relativeFrom="column">
              <wp:posOffset>9525</wp:posOffset>
            </wp:positionH>
            <wp:positionV relativeFrom="paragraph">
              <wp:posOffset>47633</wp:posOffset>
            </wp:positionV>
            <wp:extent cx="3399790" cy="1691640"/>
            <wp:effectExtent l="0" t="0" r="10160" b="3810"/>
            <wp:wrapTight wrapText="bothSides">
              <wp:wrapPolygon edited="0">
                <wp:start x="0" y="0"/>
                <wp:lineTo x="0" y="21405"/>
                <wp:lineTo x="21544" y="21405"/>
                <wp:lineTo x="21544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F94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 preço médio foi R$6,77 por quilograma; R$0,03 menor que o constatado em setembro, R$6,79; correspondendo a um decréscimo de -0,37% e a uma queda acumulada de -9,19% de abril a outubro de 2020. A diferença entre o maior e o menor preço coletado do Feijão, que em setembro foi de 49,15%, passou a 34,54% em outubro, indicando diminuição na concorrência do produto, potencialmente prejudicial ao consumidor</w:t>
      </w:r>
      <w:r w:rsidR="008D34CD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.</w:t>
      </w:r>
    </w:p>
    <w:p w:rsidR="005E2BD8" w:rsidRPr="00C82199" w:rsidRDefault="00AA4B46" w:rsidP="00863A3A">
      <w:pPr>
        <w:spacing w:line="240" w:lineRule="auto"/>
        <w:ind w:firstLine="709"/>
        <w:jc w:val="both"/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O Arroz apresentou em outubro um custo médio mensal de R$16,76; um acréscimo de R$0,36; ou 2,19% em relação a setembro e um aumento acumulado de 36,03% de abril a outubro de 2020. O custo do produto representa 3,93% do custo total da cesta de alimentos, variou -1,53% em relação a setembro e teve um aumento acumulado de 32,30% de abril a outubro; se considerados os 3,6kg consumidos em média por família mensalmente, previstos na Tabela 1. Se considerado o menor preço praticado, o custo do Arroz em outubro foi de R$14,36; 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lastRenderedPageBreak/>
        <w:t>estável em relação a setembro e um aumento acumulado de 25,07% de abril a outubro de 2020. A diferença entre os custos médio e mínimo aumentou R$0,36; ou 17,65%; passando de R$2,04 em setembro para R$2,40 em outubro. O custo em relação ao salário mínimo sofreu um acréscimo de 0,03p.p., ou 2,19%, em relação a setembro, passando de 1,57 para 1,60%, um aumento acumulado de 36,03% de abril a outubro de 2020. Se considerado o salário mínimo líquido, o acréscimo foi de 0,04p.p., ou 2,19%, passando de 1,71 para 1,74%, um aumento acumulado de 36,03% de abril a outubro de 2020</w:t>
      </w:r>
      <w:r w:rsidR="005E2BD8"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05024" behindDoc="1" locked="0" layoutInCell="1" allowOverlap="1" wp14:anchorId="7A2DF72B" wp14:editId="507026FA">
            <wp:simplePos x="0" y="0"/>
            <wp:positionH relativeFrom="column">
              <wp:posOffset>2880599</wp:posOffset>
            </wp:positionH>
            <wp:positionV relativeFrom="paragraph">
              <wp:posOffset>74163</wp:posOffset>
            </wp:positionV>
            <wp:extent cx="3397250" cy="1690370"/>
            <wp:effectExtent l="0" t="0" r="12700" b="5080"/>
            <wp:wrapTight wrapText="bothSides">
              <wp:wrapPolygon edited="0">
                <wp:start x="0" y="0"/>
                <wp:lineTo x="0" y="21421"/>
                <wp:lineTo x="21560" y="21421"/>
                <wp:lineTo x="21560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BD8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.</w:t>
      </w:r>
    </w:p>
    <w:p w:rsidR="00437A75" w:rsidRPr="00C82199" w:rsidRDefault="005E2BD8" w:rsidP="00863A3A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23456" behindDoc="1" locked="0" layoutInCell="1" allowOverlap="1" wp14:anchorId="7994367C" wp14:editId="45FB21F1">
            <wp:simplePos x="0" y="0"/>
            <wp:positionH relativeFrom="column">
              <wp:posOffset>0</wp:posOffset>
            </wp:positionH>
            <wp:positionV relativeFrom="paragraph">
              <wp:posOffset>65586</wp:posOffset>
            </wp:positionV>
            <wp:extent cx="3397250" cy="1690370"/>
            <wp:effectExtent l="0" t="0" r="12700" b="5080"/>
            <wp:wrapTight wrapText="bothSides">
              <wp:wrapPolygon edited="0">
                <wp:start x="0" y="0"/>
                <wp:lineTo x="0" y="21421"/>
                <wp:lineTo x="21560" y="21421"/>
                <wp:lineTo x="21560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B46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 preço médio foi R$4,66 por quilograma; R$0,10 maior que o constatado em setembro, R$4,56; correspondendo a um acréscimo de 2,19% e a um aumento acumulado de 36,03% de abril a outubro de 2020. A diferença entre o maior e o menor preço coletado do Arroz, que em setembro foi de 25,06%, permaneceu estável em outubro, indicando estabilidade na concorrência do produto, potencialmente inócua ao consumidor</w:t>
      </w:r>
      <w:r w:rsidR="00437A75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1C503F" w:rsidRPr="00C82199" w:rsidRDefault="004E53AA" w:rsidP="00DD55F3">
      <w:pPr>
        <w:spacing w:line="240" w:lineRule="auto"/>
        <w:ind w:firstLine="709"/>
        <w:jc w:val="both"/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45632" behindDoc="1" locked="0" layoutInCell="1" allowOverlap="1" wp14:anchorId="4E51EDCC" wp14:editId="381C7D62">
            <wp:simplePos x="0" y="0"/>
            <wp:positionH relativeFrom="column">
              <wp:posOffset>2877828</wp:posOffset>
            </wp:positionH>
            <wp:positionV relativeFrom="paragraph">
              <wp:posOffset>100115</wp:posOffset>
            </wp:positionV>
            <wp:extent cx="3399790" cy="1690370"/>
            <wp:effectExtent l="0" t="0" r="10160" b="5080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30E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A Farinha Branca apresentou em outubro um custo médio mensal de R$18,79; um decréscimo de R$0,26; ou -1,38% em relação a setembro e um aumento acumulado de 44,86% de abril a outubro de 2020. O custo do produto representa 4,40% do custo total da cesta de alimentos, variou -4,98% em relação a setembro e teve um aumento acumulado de 40,88% de abril a outubro; se considerados os três quilogramas consumidos em média por família mensalmente, previstos na Tabela 1. Se considerado o menor preço praticado, o custo da Farinha Branca em outubro foi de R$11,67; estável em relação a setembro e um aumento acumulado de 25,89% de abril a outubro de 2020. A diferença entre os custos médio e mínimo diminuiu R$0,26; ou -3,56%; passando de R$7,38 em setembro para R$7,12 em outubro. O custo em relação ao salário mínimo sofreu um decréscimo de -0,03p.p., ou -1,38%, em relação a setembro, passando de 1,82 para 1,80% (a diferença de 0,01 de dá devido ao arredondamento), um queda acumulado de 44,86% de abril a outubro de 2020. Se considerado o salário mínimo líquido, o decréscimo foi de -0,03p.p., ou -1,38%, passando de 1,98 para 1,95%, um aumento acumulado de 44,86% de abril a outubro de 2020</w:t>
      </w:r>
      <w:r w:rsidR="00C53640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.</w:t>
      </w:r>
    </w:p>
    <w:p w:rsidR="006D3894" w:rsidRPr="00C82199" w:rsidRDefault="0040530E" w:rsidP="00DD55F3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O preço médio foi R$6,26 por quilograma; R$0,09 menor que o constatado em setembro, R$6,35; correspondendo a um decréscimo de -1,38% e a um aumento acumulado de 44,86% de abril a outubro de 2020. A diferença entre o maior e o menor 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lastRenderedPageBreak/>
        <w:t>preço coletado da Farinha Branca, que em setembro foi de 84,83%, passou a 105,40% em outubro, indicando aumento significativo na concorrência do produto, potencialmente benéfico ao consumidor</w:t>
      </w:r>
      <w:r w:rsidR="001C503F"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25504" behindDoc="1" locked="0" layoutInCell="1" allowOverlap="1" wp14:anchorId="3802DD03" wp14:editId="60E58FB5">
            <wp:simplePos x="0" y="0"/>
            <wp:positionH relativeFrom="column">
              <wp:posOffset>0</wp:posOffset>
            </wp:positionH>
            <wp:positionV relativeFrom="paragraph">
              <wp:posOffset>82764</wp:posOffset>
            </wp:positionV>
            <wp:extent cx="3399790" cy="1690370"/>
            <wp:effectExtent l="0" t="0" r="10160" b="508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89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40530E" w:rsidRPr="00C82199" w:rsidRDefault="0040530E" w:rsidP="00DD55F3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</w:p>
    <w:p w:rsidR="0040530E" w:rsidRPr="00C82199" w:rsidRDefault="0040530E" w:rsidP="00DD55F3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</w:p>
    <w:p w:rsidR="0040530E" w:rsidRPr="00C82199" w:rsidRDefault="0040530E" w:rsidP="00DD55F3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</w:p>
    <w:p w:rsidR="005844DB" w:rsidRPr="00C82199" w:rsidRDefault="005844DB" w:rsidP="003444A0">
      <w:pPr>
        <w:tabs>
          <w:tab w:val="left" w:pos="1701"/>
        </w:tabs>
        <w:spacing w:line="240" w:lineRule="auto"/>
        <w:ind w:firstLine="709"/>
        <w:jc w:val="both"/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47680" behindDoc="1" locked="0" layoutInCell="1" allowOverlap="1" wp14:anchorId="61C707DD" wp14:editId="2B85A5D1">
            <wp:simplePos x="0" y="0"/>
            <wp:positionH relativeFrom="column">
              <wp:posOffset>2883477</wp:posOffset>
            </wp:positionH>
            <wp:positionV relativeFrom="paragraph">
              <wp:posOffset>104115</wp:posOffset>
            </wp:positionV>
            <wp:extent cx="3397885" cy="1690370"/>
            <wp:effectExtent l="0" t="0" r="12065" b="5080"/>
            <wp:wrapTight wrapText="bothSides">
              <wp:wrapPolygon edited="0">
                <wp:start x="0" y="0"/>
                <wp:lineTo x="0" y="21421"/>
                <wp:lineTo x="21556" y="21421"/>
                <wp:lineTo x="21556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5F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 Tomate apresentou em outubro um custo médio mensal de R$59,88; um acréscimo de R$9,00; ou 17,69% em relação a setembro e um aumento acumulado de 17,69% de abril a outubro de 2020. O custo do produto representa 14,04% do custo total da cesta de alimentos, variou -0,26% em relação a setembro e teve uma queda acumulada de -27,99% de abril a outubro; se considerados os doze quilogramas consumidos em média por família mensalmente, previstos na Tabela 1. Se considerado o menor preço praticado, o custo do Tomate em outubro foi de R$59,88; um acréscimo de R$# ou 25,06% em relação a setembro e uma queda acumulada de -23,11% de abril a outubro de 2020. A diferença entre os custos médio e mínimo diminuiu R$3,00; ou -100,00%; passando de R$3,00 em setembro para nula em outubro. O custo em relação ao salário mínimo sofreu um acréscimo de 0,86p.p., ou 17,69%, em relação a setembro, passando de 4,87 para 5,73%, uma queda acumulada de -25,96% de abril a outubro de 2020. Se considerado o salário mínimo líquido, o acréscimo foi de 0,94p.p., ou 17,69%, passando de 5,29 para 6,23%, uma queda acumulada de -25,96% de abril a outubro de 2020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.</w:t>
      </w:r>
    </w:p>
    <w:p w:rsidR="006D3894" w:rsidRPr="00C82199" w:rsidRDefault="005844DB" w:rsidP="003444A0">
      <w:pPr>
        <w:tabs>
          <w:tab w:val="left" w:pos="1701"/>
        </w:tabs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27552" behindDoc="1" locked="0" layoutInCell="1" allowOverlap="1" wp14:anchorId="4137186B" wp14:editId="79B0A45F">
            <wp:simplePos x="0" y="0"/>
            <wp:positionH relativeFrom="column">
              <wp:posOffset>1905</wp:posOffset>
            </wp:positionH>
            <wp:positionV relativeFrom="paragraph">
              <wp:posOffset>53711</wp:posOffset>
            </wp:positionV>
            <wp:extent cx="3397885" cy="1690370"/>
            <wp:effectExtent l="0" t="0" r="12065" b="5080"/>
            <wp:wrapTight wrapText="bothSides">
              <wp:wrapPolygon edited="0">
                <wp:start x="0" y="0"/>
                <wp:lineTo x="0" y="21421"/>
                <wp:lineTo x="21556" y="21421"/>
                <wp:lineTo x="21556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5F9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 preço médio foi R$4,99 por quilograma; R$0,75 maior que o constatado em setembro, R$4,24; correspondendo a um acréscimo de 17,69% e a uma queda acumulada de -25,96% de abril a outubro de 2020. A diferença entre o maior e o menor preço coletado do Tomate, que em setembro foi de 12,53%, permaneceu estável em outubro, indicando estabilidade na concorrência do produto, potencialmente inócua ao consumidor</w:t>
      </w:r>
      <w:r w:rsidR="006D389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9719AE" w:rsidRPr="00C82199" w:rsidRDefault="00F13C86" w:rsidP="004342C0">
      <w:pPr>
        <w:spacing w:line="240" w:lineRule="auto"/>
        <w:ind w:firstLine="709"/>
        <w:jc w:val="both"/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849728" behindDoc="1" locked="0" layoutInCell="1" allowOverlap="1" wp14:anchorId="089ED91C" wp14:editId="50FBBFBE">
            <wp:simplePos x="0" y="0"/>
            <wp:positionH relativeFrom="column">
              <wp:posOffset>2883535</wp:posOffset>
            </wp:positionH>
            <wp:positionV relativeFrom="paragraph">
              <wp:posOffset>80010</wp:posOffset>
            </wp:positionV>
            <wp:extent cx="3398520" cy="1689735"/>
            <wp:effectExtent l="0" t="0" r="11430" b="5715"/>
            <wp:wrapTight wrapText="bothSides">
              <wp:wrapPolygon edited="0">
                <wp:start x="0" y="0"/>
                <wp:lineTo x="0" y="21430"/>
                <wp:lineTo x="21552" y="21430"/>
                <wp:lineTo x="21552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402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 Pão Francês apresentou em outubro um custo médio mensal de R$65,70; estável em relação a setembro e uma queda acumulada de -2,62% de abril a outubro de 2020. O custo do produto representa 15,40% do custo total da cesta de alimentos, variou -3,65% em relação a setembro e teve uma queda acumulada de -5,30% de abril a outubro; se considerados os seis quilogramas consumidos em média por família mensalmente, previstos na Tabela 1. Se considerado o menor preço praticado, o custo do Pão Francês em outubro foi de R$59,40; estável em relação a setembro e uma queda acumulada de -5,62% de abril a outubro de 2020. A diferença entre os custos médio e mínimo permaneceu estável em R$6,30 em outubro em relação a setembro. O custo em relação ao salário mínimo permaneceu estável em 6,29% em relação a setembro, uma queda acumulada de -2,62% de abril a outubro de 2020. Se considerado o salário mínimo líquido, o custo permaneceu estável em 6,83% em relação a setembro, uma queda acumulada de -2,62% de abril a outubro de 2020</w:t>
      </w:r>
      <w:r w:rsidR="009719AE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.</w:t>
      </w:r>
    </w:p>
    <w:p w:rsidR="00C36CDB" w:rsidRPr="00C82199" w:rsidRDefault="009719AE" w:rsidP="004342C0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29600" behindDoc="1" locked="0" layoutInCell="1" allowOverlap="1" wp14:anchorId="64F7BB2E" wp14:editId="0ED4C7C7">
            <wp:simplePos x="0" y="0"/>
            <wp:positionH relativeFrom="column">
              <wp:posOffset>0</wp:posOffset>
            </wp:positionH>
            <wp:positionV relativeFrom="paragraph">
              <wp:posOffset>59649</wp:posOffset>
            </wp:positionV>
            <wp:extent cx="3398520" cy="1689735"/>
            <wp:effectExtent l="0" t="0" r="11430" b="5715"/>
            <wp:wrapTight wrapText="bothSides">
              <wp:wrapPolygon edited="0">
                <wp:start x="0" y="0"/>
                <wp:lineTo x="0" y="21430"/>
                <wp:lineTo x="21552" y="21430"/>
                <wp:lineTo x="21552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402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 preço médio foi R$10,95 por quilograma; estável em relação a setembro e a uma queda acumulada de -2,62% de abril a outubro de 2020. A diferença entre o maior e o menor preço coletado do Pão Francês, que em setembro foi de 9,90%, permaneceu estável em outubro, indicando estabilidade na concorrência do produto, potencialmente inócua ao consumidor</w:t>
      </w:r>
      <w:r w:rsidR="00F06950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AE4402" w:rsidRPr="00C82199" w:rsidRDefault="00AE4402" w:rsidP="004342C0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</w:p>
    <w:p w:rsidR="00543A04" w:rsidRPr="00C82199" w:rsidRDefault="00543A04" w:rsidP="00EA38E5">
      <w:pPr>
        <w:spacing w:line="240" w:lineRule="auto"/>
        <w:ind w:firstLine="709"/>
        <w:jc w:val="both"/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51776" behindDoc="1" locked="0" layoutInCell="1" allowOverlap="1" wp14:anchorId="1400DEA2" wp14:editId="0069AF51">
            <wp:simplePos x="0" y="0"/>
            <wp:positionH relativeFrom="column">
              <wp:posOffset>2882834</wp:posOffset>
            </wp:positionH>
            <wp:positionV relativeFrom="paragraph">
              <wp:posOffset>56515</wp:posOffset>
            </wp:positionV>
            <wp:extent cx="3403600" cy="1689735"/>
            <wp:effectExtent l="0" t="0" r="6350" b="5715"/>
            <wp:wrapTight wrapText="bothSides">
              <wp:wrapPolygon edited="0">
                <wp:start x="0" y="0"/>
                <wp:lineTo x="0" y="21430"/>
                <wp:lineTo x="21519" y="21430"/>
                <wp:lineTo x="21519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78B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 Café em Pó apresentou em outubro um custo médio mensal de R$4,51; um acréscimo de R$0,09; ou 1,99% em relação a setembro e uma queda acumulada de -1,82 de abril a outubro de 2020. O custo do produto representa 1,06% do custo total da cesta de alimentos, variou -1,73% em relação a setembro e teve uma queda acumulada de -4,52% de abril a outubro; se considerados os trezentos gramas consumidos em média por família mensalmente, previstos na Tabela 1. Se considerado o menor preço praticado, o custo do Café em Pó em outubro foi de R$4,14; estável em relação a setembro e uma queda acumulada de -46,76% de abril a outubro de 2020. A diferença entre os custos médio e mínimo aumentou R$0,09; ou 30,99%; passando de R$0,28 em setembro para R$0,37 em outubro. O custo em relação ao salário mínimo sofreu um acréscimo de 0,01p.p., ou 1,99%, em relação a setembro, passando de 0,42 para 0,43%, uma queda acumulada de -1,82% de abril a outubro de 2020. Se considerado o salário mínimo líquido, o acréscimo foi de 0,01p.p., ou 1,99%, passando de 0,46 para 0,47%, uma queda acumulada de -1,82% de abril a outubro de 2020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.</w:t>
      </w:r>
    </w:p>
    <w:p w:rsidR="00B66AC5" w:rsidRPr="00C82199" w:rsidRDefault="00543A04" w:rsidP="00EA38E5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931648" behindDoc="1" locked="0" layoutInCell="1" allowOverlap="1" wp14:anchorId="71776E52" wp14:editId="0DD02CF7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3403600" cy="1689735"/>
            <wp:effectExtent l="0" t="0" r="6350" b="5715"/>
            <wp:wrapTight wrapText="bothSides">
              <wp:wrapPolygon edited="0">
                <wp:start x="0" y="0"/>
                <wp:lineTo x="0" y="21430"/>
                <wp:lineTo x="21519" y="21430"/>
                <wp:lineTo x="21519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78B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 preço médio foi R$3,76 por unidade de 250g; R$0,07 maior que o constatado em setembro, R$3,69; correspondendo a um acréscimo de 1,99% e a uma queda acumulada de -1,82% de abril a outubro de 2020. A diferença entre o maior e o menor preço coletado do Café em Pó, que em setembro foi de 24,35%, permaneceu estável em outubro, indicando estabilidade na concorrência do produto, potencialmente inócua ao consumidor</w:t>
      </w:r>
      <w:r w:rsidR="00630ED5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157844" w:rsidRPr="00C82199" w:rsidRDefault="00157844" w:rsidP="00486E7A">
      <w:pPr>
        <w:spacing w:line="240" w:lineRule="auto"/>
        <w:ind w:firstLine="709"/>
        <w:jc w:val="both"/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53824" behindDoc="1" locked="0" layoutInCell="1" allowOverlap="1" wp14:anchorId="0659B442" wp14:editId="3A65081E">
            <wp:simplePos x="0" y="0"/>
            <wp:positionH relativeFrom="column">
              <wp:posOffset>2876706</wp:posOffset>
            </wp:positionH>
            <wp:positionV relativeFrom="paragraph">
              <wp:posOffset>63401</wp:posOffset>
            </wp:positionV>
            <wp:extent cx="3403600" cy="1689735"/>
            <wp:effectExtent l="0" t="0" r="6350" b="5715"/>
            <wp:wrapTight wrapText="bothSides">
              <wp:wrapPolygon edited="0">
                <wp:start x="0" y="0"/>
                <wp:lineTo x="0" y="21430"/>
                <wp:lineTo x="21519" y="21430"/>
                <wp:lineTo x="21519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CAE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 A Banana apresentou em outubro um custo médio mensal de R$21,96; um decréscimo de R$0,27; ou -1,21% em relação a setembro e uma queda acumulada de -10,95% de abril a outubro de 2020. O custo do produto representa 5,15% do custo total da cesta de alimentos, variou -4,82% em relação a setembro e teve uma queda acumulada de -13,39% de abril a outubro; se considerados as noventa unidades consumidas em média por família mensalmente, previstos na Tabela 1. Se considerado o menor preço praticado, o custo da Banana em outubro foi de R$19,71; um decréscimo de R$5,04 ou -20,36% em relação a setembro e uma queda acumulada de -12,05% de abril a outubro de 2020. A diferença entre os custos médio e mínimo diminuiu R$4,77; ou -189,29%. O custo em relação ao salário mínimo sofreu um decréscimo de -0,03p.p., ou -1,21%, em relação a setembro, passando de 2,13 para 2,10%, um queda acumulada de -10,95% de abril a outubro de 2020. Se considerado o salário mínimo líquido, o decréscimo foi de -0,03p.p., ou -1,21%, passando de 2,31 para 2,28%, uma queda acumulada de -10,95% de abril a outubro de 2020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.</w:t>
      </w:r>
    </w:p>
    <w:p w:rsidR="00AD728B" w:rsidRPr="00C82199" w:rsidRDefault="00157844" w:rsidP="00486E7A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33696" behindDoc="1" locked="0" layoutInCell="1" allowOverlap="1" wp14:anchorId="50F52CF5" wp14:editId="68CA8679">
            <wp:simplePos x="0" y="0"/>
            <wp:positionH relativeFrom="column">
              <wp:posOffset>0</wp:posOffset>
            </wp:positionH>
            <wp:positionV relativeFrom="paragraph">
              <wp:posOffset>64951</wp:posOffset>
            </wp:positionV>
            <wp:extent cx="3403600" cy="1689735"/>
            <wp:effectExtent l="0" t="0" r="6350" b="5715"/>
            <wp:wrapTight wrapText="bothSides">
              <wp:wrapPolygon edited="0">
                <wp:start x="0" y="0"/>
                <wp:lineTo x="0" y="21430"/>
                <wp:lineTo x="21519" y="21430"/>
                <wp:lineTo x="21519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CAE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 preço médio foi R$2,44 por quilograma; R$0,03 menor que o constatado em setembro, R$2,47; correspondendo a um decréscimo de -1,21% e a uma queda acumulada de -10,95% de abril a outubro de 2020. A diferença entre o maior e o menor preço coletado da Banana, que em setembro foi de 25,57%, passou a 22,83% em outubro, indicando diminuição na concorrência do produto, potencialmente prejudicial ao consumidor</w:t>
      </w:r>
      <w:r w:rsidR="00022B73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A9306D" w:rsidRPr="00C82199" w:rsidRDefault="00A9306D" w:rsidP="003444A0">
      <w:pPr>
        <w:spacing w:line="240" w:lineRule="auto"/>
        <w:ind w:firstLine="709"/>
        <w:jc w:val="both"/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907072" behindDoc="1" locked="0" layoutInCell="1" allowOverlap="1" wp14:anchorId="3C95B722" wp14:editId="569F71C3">
            <wp:simplePos x="0" y="0"/>
            <wp:positionH relativeFrom="column">
              <wp:posOffset>2884409</wp:posOffset>
            </wp:positionH>
            <wp:positionV relativeFrom="paragraph">
              <wp:posOffset>74856</wp:posOffset>
            </wp:positionV>
            <wp:extent cx="3397250" cy="1689735"/>
            <wp:effectExtent l="0" t="0" r="12700" b="5715"/>
            <wp:wrapTight wrapText="bothSides">
              <wp:wrapPolygon edited="0">
                <wp:start x="0" y="0"/>
                <wp:lineTo x="0" y="21430"/>
                <wp:lineTo x="21560" y="21430"/>
                <wp:lineTo x="21560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B51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 Açúcar Cristal apresentou em outubro um custo médio mensal de R$7,70; um decréscimo de R$0,07; ou -0,90% em relação a setembro e uma queda acumulada de -3,87% de abril a outubro de 2020. O custo do produto representa 1,80% do custo total da cesta de alimentos, variou -4,52% em relação a setembro e teve uma queda acumulada de -6,51% de abril a outubro; se considerados os três quilogramas consumidos em média por família mensalmente, previstos na Tabela 1. Se considerado o menor preço praticado, o custo do Açúcar Cristal em outubro foi de R$7,05; um decréscimo de R$0,12 ou 1,67% em relação a setembro e uma queda acumulada de -4,06% de abril a outubro de 2020. A diferença entre os custos médio e mínimo aumentou R$0,05; ou 8,33%; passando de R$0,60 em setembro para R$0,65 em outubro. O custo em relação ao salário mínimo sofreu um permaneceu estável em relação a setembro, mantendo-se em 0,74%, uma queda acumulada de -3,87% de abril a outubro de 2020. Se considerado o salário mínimo líquido, apresentou decréscimo de -0,01p.p., ou -0,90%, passando de 0,81 para 0,80%, uma queda acumulada de -3,87% de abril a outubro de 2020</w:t>
      </w:r>
      <w:r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.</w:t>
      </w:r>
    </w:p>
    <w:p w:rsidR="00077292" w:rsidRPr="00C82199" w:rsidRDefault="00A9306D" w:rsidP="003444A0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35744" behindDoc="1" locked="0" layoutInCell="1" allowOverlap="1" wp14:anchorId="3DDC1A96" wp14:editId="3FF4B0AD">
            <wp:simplePos x="0" y="0"/>
            <wp:positionH relativeFrom="column">
              <wp:posOffset>0</wp:posOffset>
            </wp:positionH>
            <wp:positionV relativeFrom="paragraph">
              <wp:posOffset>59649</wp:posOffset>
            </wp:positionV>
            <wp:extent cx="3397250" cy="1689735"/>
            <wp:effectExtent l="0" t="0" r="12700" b="5715"/>
            <wp:wrapTight wrapText="bothSides">
              <wp:wrapPolygon edited="0">
                <wp:start x="0" y="0"/>
                <wp:lineTo x="0" y="21430"/>
                <wp:lineTo x="21560" y="21430"/>
                <wp:lineTo x="21560" y="0"/>
                <wp:lineTo x="0" y="0"/>
              </wp:wrapPolygon>
            </wp:wrapTight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B51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O preço médio foi R$2,57 por quilograma; R$0,02 menor que o constatado em setembro, R$2,59; correspondendo a um decréscimo de -0,90% e a uma queda acumulada de -3,87% de abril a outubro de 2020. A diferença entre o maior e o menor preço coletado do Açúcar Cristal, que em setembro foi de 12,55%, passou a 14,47% em outubro, indicando diminuição na concorrência do produto, potencialmente prejudicial ao consumidor</w:t>
      </w:r>
      <w:r w:rsidR="0007729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152C4F" w:rsidRPr="00C82199" w:rsidRDefault="00A9306D" w:rsidP="009A7CAE">
      <w:pPr>
        <w:spacing w:line="240" w:lineRule="auto"/>
        <w:ind w:firstLine="709"/>
        <w:jc w:val="both"/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57920" behindDoc="1" locked="0" layoutInCell="1" allowOverlap="1" wp14:anchorId="292AC1ED" wp14:editId="685E7C35">
            <wp:simplePos x="0" y="0"/>
            <wp:positionH relativeFrom="column">
              <wp:posOffset>2883766</wp:posOffset>
            </wp:positionH>
            <wp:positionV relativeFrom="paragraph">
              <wp:posOffset>75317</wp:posOffset>
            </wp:positionV>
            <wp:extent cx="3398520" cy="1689735"/>
            <wp:effectExtent l="0" t="0" r="11430" b="5715"/>
            <wp:wrapTight wrapText="bothSides">
              <wp:wrapPolygon edited="0">
                <wp:start x="0" y="0"/>
                <wp:lineTo x="0" y="21430"/>
                <wp:lineTo x="21552" y="21430"/>
                <wp:lineTo x="21552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E24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O Óleo de Soja apresentou em outubro um custo médio mensal de R$7,61; um acréscimo de R$1,15; ou 17,85% em relação a setembro e um aumento acumulado de 81,47% de abril a outubro de 2020. O custo do produto representa 1,78% do custo total da cesta de alimentos, variou 13,55% em relação a setembro e teve um aumento acumulado de 76,51% de abril a outubro; se considerados os 750g consumidos em média por família mensalmente, previstos na Tabela 1. Se considerado o menor preço praticado, o custo do Óleo de Soja em outubro foi de R$6,20; um acréscimo de R$0,48 ou 8,39% em relação a setembro e um aumento acumulado de 58,99% de abril a outubro de 2020. A diferença entre os custos médio e mínimo aumentou R$0,67; ou 91,00%; passando de R$0,74 em setembro para R$1,41 em outubro. O custo em relação ao salário mínimo sofreu um acréscimo de 0,11p.p., ou 17,85%, em relação a setembro, passando de 0,62 para 0,73%, um aumento acumulado de </w:t>
      </w:r>
      <w:r w:rsidR="00007E24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lastRenderedPageBreak/>
        <w:t>81,47% de abril a outubro de 2020. Se considerado o salário mínimo líquido, o acréscimo foi de 0,12p.p., ou 17,85%, passando de 0,67 para 0,79%, um aumento acumulado de 81,47% de abril a outubro de 2020</w:t>
      </w:r>
      <w:r w:rsidR="00152C4F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.</w:t>
      </w:r>
    </w:p>
    <w:p w:rsidR="00015318" w:rsidRPr="00C82199" w:rsidRDefault="00152C4F" w:rsidP="009A7CAE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37792" behindDoc="1" locked="0" layoutInCell="1" allowOverlap="1" wp14:anchorId="0BCFF8AA" wp14:editId="44834B74">
            <wp:simplePos x="0" y="0"/>
            <wp:positionH relativeFrom="column">
              <wp:posOffset>0</wp:posOffset>
            </wp:positionH>
            <wp:positionV relativeFrom="paragraph">
              <wp:posOffset>71524</wp:posOffset>
            </wp:positionV>
            <wp:extent cx="3398520" cy="1689735"/>
            <wp:effectExtent l="0" t="0" r="11430" b="5715"/>
            <wp:wrapTight wrapText="bothSides">
              <wp:wrapPolygon edited="0">
                <wp:start x="0" y="0"/>
                <wp:lineTo x="0" y="21430"/>
                <wp:lineTo x="21552" y="21430"/>
                <wp:lineTo x="21552" y="0"/>
                <wp:lineTo x="0" y="0"/>
              </wp:wrapPolygon>
            </wp:wrapTight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E24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O preço médio foi R$8,57 por </w:t>
      </w:r>
      <w:r w:rsidR="00007E2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unidade de 900ml</w:t>
      </w:r>
      <w:r w:rsidR="00007E24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; R$1,30 maior que o constatado em setembro, R$7,27; correspondendo a um acréscimo de 17,85% e a um aumento acumulado de 81,47% de abril a outubro de 2020. A diferença entre o maior e o menor preço coletado do Óleo de Soja, que em setembro foi de 24,07%, passou a 40,26% em outubro, indicando aumento significativo na concorrência do produto, potencialmente benéfico ao consumidor</w:t>
      </w:r>
      <w:r w:rsidR="0001531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71043E" w:rsidRPr="00C82199" w:rsidRDefault="00FE5F3F" w:rsidP="003444A0">
      <w:pPr>
        <w:tabs>
          <w:tab w:val="left" w:pos="1701"/>
        </w:tabs>
        <w:spacing w:line="240" w:lineRule="auto"/>
        <w:ind w:firstLine="709"/>
        <w:jc w:val="both"/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09120" behindDoc="1" locked="0" layoutInCell="1" allowOverlap="1" wp14:anchorId="7BF275BB" wp14:editId="1F9B89E9">
            <wp:simplePos x="0" y="0"/>
            <wp:positionH relativeFrom="column">
              <wp:posOffset>2871841</wp:posOffset>
            </wp:positionH>
            <wp:positionV relativeFrom="paragraph">
              <wp:posOffset>56424</wp:posOffset>
            </wp:positionV>
            <wp:extent cx="3409315" cy="1689735"/>
            <wp:effectExtent l="0" t="0" r="635" b="5715"/>
            <wp:wrapTight wrapText="bothSides">
              <wp:wrapPolygon edited="0">
                <wp:start x="0" y="0"/>
                <wp:lineTo x="0" y="21430"/>
                <wp:lineTo x="21483" y="21430"/>
                <wp:lineTo x="21483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E8D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A Manteiga apresentou em outubro um custo médio mensal de R$31,14; um acréscimo de R$1,73; ou 5,87% em relação a setembro e uma queda acumulada de -0,45% de abril a outubro de 2020. O custo do produto representa 7,30% do custo total da cesta de alimentos, variou 2,00% em relação a setembro e teve uma queda acumulada de -3,18% de abril a outubro; se considerados os 750g consumidos em média por família mensalmente, previstos na Tabela 1. Se considerado o menor preço praticado, o custo da Manteiga em outubro foi de R$25,94; estável em relação a setembro e uma queda acumulada de -7,79% de abril a outubro de 2020. A diferença entre os custos médio e mínimo aumentou R$1,73; ou 49,64%; passando de R$3,48 em setembro para R$5,20 em outubro. O custo em relação ao salário mínimo sofreu um acréscimo de 0,17p.p., ou 5,87%, em relação a setembro, passando de 2,81 para 2,98%, uma queda acumulada de -0,45% de abril a outubro de 2020. Se considerado o salário mínimo líquido, o acréscimo foi de 0,18p.p., ou 5,87%, passando de 3,06 para 3,24%, uma queda acumulado de -0,45% de abril a outubro de 2020</w:t>
      </w:r>
      <w:r w:rsidR="0071043E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.</w:t>
      </w:r>
    </w:p>
    <w:p w:rsidR="00015318" w:rsidRPr="00C82199" w:rsidRDefault="0071043E" w:rsidP="003444A0">
      <w:pPr>
        <w:tabs>
          <w:tab w:val="left" w:pos="1701"/>
        </w:tabs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39840" behindDoc="1" locked="0" layoutInCell="1" allowOverlap="1" wp14:anchorId="2D06769A" wp14:editId="6C00CC4E">
            <wp:simplePos x="0" y="0"/>
            <wp:positionH relativeFrom="column">
              <wp:posOffset>0</wp:posOffset>
            </wp:positionH>
            <wp:positionV relativeFrom="paragraph">
              <wp:posOffset>76827</wp:posOffset>
            </wp:positionV>
            <wp:extent cx="3409315" cy="1689735"/>
            <wp:effectExtent l="0" t="0" r="635" b="5715"/>
            <wp:wrapTight wrapText="bothSides">
              <wp:wrapPolygon edited="0">
                <wp:start x="0" y="0"/>
                <wp:lineTo x="0" y="21430"/>
                <wp:lineTo x="21483" y="21430"/>
                <wp:lineTo x="21483" y="0"/>
                <wp:lineTo x="0" y="0"/>
              </wp:wrapPolygon>
            </wp:wrapTight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E8D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O preço médio foi R$20,76 por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unidade de 500g</w:t>
      </w:r>
      <w:r w:rsidR="000C7E8D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; R$1,15 maior que o constatado em setembro, R$19,61; correspondendo a um acréscimo de 5,87% e a uma queda acumulada de -0,45% de abril a outubro de 2020. A diferença entre o maior e o menor preço coletado da Manteiga, que em setembro foi de 27,18%, passou a 42,22% em outubro, indicando aumento significativo na concorrência do produto, potencialmente benéfico ao consumidor</w:t>
      </w:r>
      <w:r w:rsidR="0001531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4D2BA1" w:rsidRPr="00C82199" w:rsidRDefault="00B550CF" w:rsidP="00556B4C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862016" behindDoc="1" locked="0" layoutInCell="1" allowOverlap="1" wp14:anchorId="75AACEC8" wp14:editId="34CBD800">
            <wp:simplePos x="0" y="0"/>
            <wp:positionH relativeFrom="column">
              <wp:posOffset>2872105</wp:posOffset>
            </wp:positionH>
            <wp:positionV relativeFrom="paragraph">
              <wp:posOffset>75565</wp:posOffset>
            </wp:positionV>
            <wp:extent cx="3409950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479" y="21421"/>
                <wp:lineTo x="21479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A quantidade de horas de trabalho mensal necessária para a compra da Cesta Básica de Alimentos em Luís Correia, considerando um trabalhador que recebe um salário mínimo e cumpre uma jornada mensal de 220 hora</w:t>
      </w:r>
      <w:r w:rsidR="00C33B9E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s, que em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setembro foi de 86,53</w:t>
      </w:r>
      <w:r w:rsidR="009F606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horas, passou em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outubro</w:t>
      </w:r>
      <w:r w:rsidR="009F606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para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89,81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horas, rep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resentando um acréscimo de 3,28 horas ou 3,79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%</w:t>
      </w:r>
      <w:r w:rsidR="00C33B9E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e um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aumento</w:t>
      </w:r>
      <w:r w:rsidR="00C33B9E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acumulad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 de 2,75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% de abril a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outubro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de 2020, implicando em um</w:t>
      </w:r>
      <w:r w:rsidR="00C33B9E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a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pequeno </w:t>
      </w:r>
      <w:r w:rsidR="00C33B9E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perda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na produtividade do trabalho</w:t>
      </w:r>
      <w:r w:rsidR="004D2BA1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4D2BA1" w:rsidRPr="00C82199" w:rsidRDefault="00C14D81" w:rsidP="003444A0">
      <w:pPr>
        <w:tabs>
          <w:tab w:val="left" w:pos="1701"/>
        </w:tabs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64064" behindDoc="1" locked="0" layoutInCell="1" allowOverlap="1" wp14:anchorId="0B2A4FE5" wp14:editId="7147BA23">
            <wp:simplePos x="0" y="0"/>
            <wp:positionH relativeFrom="column">
              <wp:posOffset>2871470</wp:posOffset>
            </wp:positionH>
            <wp:positionV relativeFrom="paragraph">
              <wp:posOffset>53175</wp:posOffset>
            </wp:positionV>
            <wp:extent cx="3409950" cy="1341755"/>
            <wp:effectExtent l="0" t="0" r="0" b="10795"/>
            <wp:wrapTight wrapText="bothSides">
              <wp:wrapPolygon edited="0">
                <wp:start x="0" y="0"/>
                <wp:lineTo x="0" y="21467"/>
                <wp:lineTo x="21479" y="21467"/>
                <wp:lineTo x="21479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A porcentagem do salário mínimo necessário para a compra da Cesta Bás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ica de Alimentos passou de 39,33</w:t>
      </w:r>
      <w:r w:rsidR="00C33B9E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% em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setembro para 40,82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%</w:t>
      </w:r>
      <w:r w:rsidR="00DD7C39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em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outubro, uma variação de 1,49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p.p. ou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3,79% e um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aumento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acumulad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de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2,75</w:t>
      </w:r>
      <w:r w:rsidR="00DD7C39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%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</w:t>
      </w:r>
      <w:r w:rsidR="00DD7C39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de abril a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outubro</w:t>
      </w:r>
      <w:r w:rsidR="00DD7C39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de 2020, 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implicando em </w:t>
      </w:r>
      <w:r w:rsidR="00C33B9E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um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a pequena</w:t>
      </w:r>
      <w:r w:rsidR="00C33B9E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perda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do seu poder de compra.</w:t>
      </w:r>
    </w:p>
    <w:p w:rsidR="008D34FE" w:rsidRPr="00C82199" w:rsidRDefault="008D34FE" w:rsidP="003444A0">
      <w:pPr>
        <w:tabs>
          <w:tab w:val="left" w:pos="1701"/>
        </w:tabs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</w:p>
    <w:p w:rsidR="003444A0" w:rsidRPr="00C82199" w:rsidRDefault="008D34FE" w:rsidP="005B6F0E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66112" behindDoc="1" locked="0" layoutInCell="1" allowOverlap="1" wp14:anchorId="67BCC886" wp14:editId="5065A79A">
            <wp:simplePos x="0" y="0"/>
            <wp:positionH relativeFrom="column">
              <wp:posOffset>2870992</wp:posOffset>
            </wp:positionH>
            <wp:positionV relativeFrom="paragraph">
              <wp:posOffset>27305</wp:posOffset>
            </wp:positionV>
            <wp:extent cx="3409950" cy="1341755"/>
            <wp:effectExtent l="0" t="0" r="0" b="10795"/>
            <wp:wrapTight wrapText="bothSides">
              <wp:wrapPolygon edited="0">
                <wp:start x="0" y="0"/>
                <wp:lineTo x="0" y="21467"/>
                <wp:lineTo x="21479" y="21467"/>
                <wp:lineTo x="21479" y="0"/>
                <wp:lineTo x="0" y="0"/>
              </wp:wrapPolygon>
            </wp:wrapTight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A porcentagem do salário mínimo líquido necessário para a compra da Cesta Bás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ica de Alimentos passou de 42,37</w:t>
      </w:r>
      <w:r w:rsidR="00DD7C39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% em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setembro para 44,37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%</w:t>
      </w:r>
      <w:r w:rsidR="00C33B9E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em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outubro, uma variação de 1,62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p.p. ou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3,79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%</w:t>
      </w:r>
      <w:r w:rsidR="00C33B9E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e um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aumento</w:t>
      </w:r>
      <w:r w:rsidR="00C33B9E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acumulad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 de 2,75</w:t>
      </w:r>
      <w:r w:rsidR="00DD7C39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%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</w:t>
      </w:r>
      <w:r w:rsidR="00DD7C39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de abril a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outubro</w:t>
      </w:r>
      <w:r w:rsidR="00DD7C39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de 2020, 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implicando em 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perda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significativ</w:t>
      </w:r>
      <w:r w:rsidR="000C7E8D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a</w:t>
      </w:r>
      <w:r w:rsidR="00B94FA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</w:t>
      </w:r>
      <w:r w:rsidR="00A22697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d</w:t>
      </w:r>
      <w:r w:rsidR="00556B4C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 seu poder de compra</w:t>
      </w:r>
      <w:r w:rsidR="00B94FA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275C28" w:rsidRPr="00C82199" w:rsidRDefault="005C3BF3" w:rsidP="003444A0">
      <w:pPr>
        <w:tabs>
          <w:tab w:val="left" w:pos="1701"/>
        </w:tabs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t>A</w:t>
      </w:r>
      <w:r w:rsidR="00275C2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Pesquisa do Índice da Cesta Básica para </w:t>
      </w:r>
      <w:r w:rsidR="007F163A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a cidade </w:t>
      </w:r>
      <w:r w:rsidR="00E7073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de </w:t>
      </w:r>
      <w:r w:rsidR="00B74525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Luís Correia</w:t>
      </w:r>
      <w:r w:rsidR="00E7073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inclui</w:t>
      </w:r>
      <w:r w:rsidR="00275C2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itens de alimentação extra cesta. </w:t>
      </w:r>
      <w:r w:rsidR="00E7073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São considerados</w:t>
      </w:r>
      <w:r w:rsidR="00275C2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</w:t>
      </w:r>
      <w:r w:rsidR="001C19F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os seguintes </w:t>
      </w:r>
      <w:r w:rsidR="00275C2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bens</w:t>
      </w:r>
      <w:r w:rsidR="001C19F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,</w:t>
      </w:r>
      <w:r w:rsidR="00275C2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</w:t>
      </w:r>
      <w:r w:rsidR="001C19F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que são </w:t>
      </w:r>
      <w:r w:rsidR="00275C2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de consumo generalizado entre a população, selecionados por pesquisa informal entre consumidores de rendas média e baixa</w:t>
      </w:r>
      <w:r w:rsidR="00BB3D1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: o ovo de galinha, o frango inteiro fresco ou congelado, a laranja pera, a batata inglesa, o macarrão do tipo espaguete n</w:t>
      </w:r>
      <w:r w:rsidR="00BB3D1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  <w:vertAlign w:val="superscript"/>
        </w:rPr>
        <w:t>o</w:t>
      </w:r>
      <w:r w:rsidR="00BB3D1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8, a farinha ou fubá de milho e a margarina vegetal.</w:t>
      </w:r>
      <w:r w:rsidR="004153F5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F</w:t>
      </w:r>
      <w:r w:rsidR="00E7073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oram </w:t>
      </w:r>
      <w:r w:rsidR="005B7E1A"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66DBA080" wp14:editId="12A93B60">
                <wp:simplePos x="0" y="0"/>
                <wp:positionH relativeFrom="column">
                  <wp:posOffset>-162221</wp:posOffset>
                </wp:positionH>
                <wp:positionV relativeFrom="paragraph">
                  <wp:posOffset>0</wp:posOffset>
                </wp:positionV>
                <wp:extent cx="1864360" cy="2279650"/>
                <wp:effectExtent l="0" t="0" r="2540" b="6350"/>
                <wp:wrapTight wrapText="bothSides">
                  <wp:wrapPolygon edited="0">
                    <wp:start x="0" y="0"/>
                    <wp:lineTo x="0" y="21480"/>
                    <wp:lineTo x="21409" y="21480"/>
                    <wp:lineTo x="2140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588" w:rsidRPr="00B1045B" w:rsidRDefault="00EE1588" w:rsidP="00B104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Yu Gothic UI Light" w:eastAsia="Yu Gothic UI Light" w:hAnsi="Yu Gothic UI Light" w:cs="Segoe UI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Tabela 2: </w:t>
                            </w: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sz w:val="14"/>
                                <w:szCs w:val="14"/>
                              </w:rPr>
                              <w:t>Produtos e quantidades extra cesta</w:t>
                            </w:r>
                          </w:p>
                          <w:tbl>
                            <w:tblPr>
                              <w:tblStyle w:val="Tabelacomgrade"/>
                              <w:tblW w:w="258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3"/>
                              <w:gridCol w:w="775"/>
                            </w:tblGrid>
                            <w:tr w:rsidR="00EE1588" w:rsidRPr="00B1045B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sz w:val="14"/>
                                      <w:szCs w:val="14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sz w:val="14"/>
                                      <w:szCs w:val="14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EE1588" w:rsidRPr="00B1045B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EE1588" w:rsidRPr="00B1045B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E1588" w:rsidRPr="00B1045B" w:rsidRDefault="00EE1588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EE1588" w:rsidRPr="00B1045B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E1588" w:rsidRPr="00B1045B" w:rsidRDefault="00EE1588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EE1588" w:rsidRPr="00B1045B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E1588" w:rsidRPr="00B1045B" w:rsidRDefault="00EE1588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EE1588" w:rsidRPr="00B1045B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E1588" w:rsidRPr="00B1045B" w:rsidRDefault="00EE1588" w:rsidP="006179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EE1588" w:rsidRPr="00B1045B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EE1588" w:rsidRPr="00B1045B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EE1588" w:rsidRPr="00B1045B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Gasolina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E1588" w:rsidRPr="00B1045B" w:rsidRDefault="00EE1588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EE1588" w:rsidRPr="00B1045B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Álcool/etanol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EE1588" w:rsidRPr="00B1045B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EE1588" w:rsidRPr="00B1045B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Gás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E1588" w:rsidRPr="00B1045B" w:rsidRDefault="00EE158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</w:pPr>
                                  <w:r w:rsidRPr="00B1045B">
                                    <w:rPr>
                                      <w:rFonts w:ascii="Yu Gothic UI Light" w:eastAsia="Yu Gothic UI Light" w:hAnsi="Yu Gothic UI Light" w:cs="Segoe UI"/>
                                      <w:sz w:val="14"/>
                                      <w:szCs w:val="14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</w:tbl>
                          <w:p w:rsidR="00EE1588" w:rsidRPr="00B1045B" w:rsidRDefault="00EE1588" w:rsidP="00B1045B">
                            <w:pPr>
                              <w:spacing w:after="0" w:line="240" w:lineRule="auto"/>
                              <w:rPr>
                                <w:rFonts w:ascii="Yu Gothic UI Light" w:eastAsia="Yu Gothic UI Light" w:hAnsi="Yu Gothic UI Light" w:cs="Segoe UI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color w:val="000000" w:themeColor="text1"/>
                                <w:sz w:val="14"/>
                                <w:szCs w:val="14"/>
                              </w:rPr>
                              <w:t>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BA080" id="_x0000_s1028" type="#_x0000_t202" style="position:absolute;left:0;text-align:left;margin-left:-12.75pt;margin-top:0;width:146.8pt;height:179.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R5nhwIAABcFAAAOAAAAZHJzL2Uyb0RvYy54bWysVNuO2yAQfa/Uf0C8Z32pc7G1zmovTVVp&#10;e5F2+wEEcIyKgQKJvV313zvgJH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lAeutMbV0HSg4E0P8DrkBkqdeZe088OKX3bErXj19bqvuWEAbssnEwmR0ccF0C2&#10;/TvN4Bqy9zoCDY3tAiA0AwE6qPR0ViZQoeHK1aJ4tYAQhVieL8vFPGqXkOp03Fjn33DdobCosQXp&#10;Izw53Dsf6JDqlBLpaynYRkgZN3a3vZUWHQjYZBN/sQKocpomVUhWOhwbEcc3wBLuCLHAN8r+XGZ5&#10;kd7k5WyzWC1nxaaYz8plupqlWXlTLtKiLO423wLBrKhawRhX90LxkwWz4u8kPg7DaJ5oQtTXuJzn&#10;81GjKXs3LTKNvz8V2QkPEylFV+PVOYlUQdnXikHZpPJEyHGd/Ew/dhl6cPqPXYk+CNKPJvDDdoiG&#10;O9trq9kTGMNqkA0khq8JLFptv2LUw2TW2H3ZE8sxkm8VmKvMiiKMctwU82UOGzuNbKcRoihA1dhj&#10;NC5v/Tj+e2PFroWbRjsrfQ2GbES0SnDuyOpoY5i+WNPxSxHGe7qPWT++Z+vvAAAA//8DAFBLAwQU&#10;AAYACAAAACEA3oM2XN0AAAAIAQAADwAAAGRycy9kb3ducmV2LnhtbEyPQU+DQBSE7yb+h80z8WLa&#10;pSi0RZZGTTReW/sDHvAKRPYtYbeF/nufJz1OZjLzTb6bba8uNPrOsYHVMgJFXLm648bA8et9sQHl&#10;A3KNvWMycCUPu+L2JsesdhPv6XIIjZIS9hkaaEMYMq191ZJFv3QDsXgnN1oMIsdG1yNOUm57HUdR&#10;qi12LAstDvTWUvV9OFsDp8/pIdlO5Uc4rvdP6St269Jdjbm/m1+eQQWaw18YfvEFHQphKt2Za696&#10;A4s4SSRqQB6JHaebFajSwGOyjUAXuf5/oPgBAAD//wMAUEsBAi0AFAAGAAgAAAAhALaDOJL+AAAA&#10;4QEAABMAAAAAAAAAAAAAAAAAAAAAAFtDb250ZW50X1R5cGVzXS54bWxQSwECLQAUAAYACAAAACEA&#10;OP0h/9YAAACUAQAACwAAAAAAAAAAAAAAAAAvAQAAX3JlbHMvLnJlbHNQSwECLQAUAAYACAAAACEA&#10;96EeZ4cCAAAXBQAADgAAAAAAAAAAAAAAAAAuAgAAZHJzL2Uyb0RvYy54bWxQSwECLQAUAAYACAAA&#10;ACEA3oM2XN0AAAAIAQAADwAAAAAAAAAAAAAAAADhBAAAZHJzL2Rvd25yZXYueG1sUEsFBgAAAAAE&#10;AAQA8wAAAOsFAAAAAA==&#10;" stroked="f">
                <v:textbox>
                  <w:txbxContent>
                    <w:p w:rsidR="00EE1588" w:rsidRPr="00B1045B" w:rsidRDefault="00EE1588" w:rsidP="00B104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Yu Gothic UI Light" w:eastAsia="Yu Gothic UI Light" w:hAnsi="Yu Gothic UI Light" w:cs="Segoe UI"/>
                          <w:color w:val="FF0000"/>
                          <w:sz w:val="14"/>
                          <w:szCs w:val="14"/>
                        </w:rPr>
                      </w:pPr>
                      <w:r w:rsidRPr="00B1045B">
                        <w:rPr>
                          <w:rFonts w:ascii="Yu Gothic UI Light" w:eastAsia="Yu Gothic UI Light" w:hAnsi="Yu Gothic UI Light" w:cs="Segoe UI"/>
                          <w:b/>
                          <w:color w:val="000000" w:themeColor="text1"/>
                          <w:sz w:val="14"/>
                          <w:szCs w:val="14"/>
                        </w:rPr>
                        <w:t xml:space="preserve">Tabela 2: </w:t>
                      </w:r>
                      <w:r w:rsidRPr="00B1045B">
                        <w:rPr>
                          <w:rFonts w:ascii="Yu Gothic UI Light" w:eastAsia="Yu Gothic UI Light" w:hAnsi="Yu Gothic UI Light" w:cs="Segoe UI"/>
                          <w:b/>
                          <w:bCs/>
                          <w:sz w:val="14"/>
                          <w:szCs w:val="14"/>
                        </w:rPr>
                        <w:t>Produtos e quantidades extra cesta</w:t>
                      </w:r>
                    </w:p>
                    <w:tbl>
                      <w:tblPr>
                        <w:tblStyle w:val="Tabelacomgrade"/>
                        <w:tblW w:w="258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3"/>
                        <w:gridCol w:w="775"/>
                      </w:tblGrid>
                      <w:tr w:rsidR="00EE1588" w:rsidRPr="00B1045B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Yu Gothic UI Light" w:eastAsia="Yu Gothic UI Light" w:hAnsi="Yu Gothic UI Light" w:cs="Segoe UI"/>
                                <w:b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b/>
                                <w:sz w:val="14"/>
                                <w:szCs w:val="14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Yu Gothic UI Light" w:eastAsia="Yu Gothic UI Light" w:hAnsi="Yu Gothic UI Light" w:cs="Segoe UI"/>
                                <w:b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b/>
                                <w:sz w:val="14"/>
                                <w:szCs w:val="14"/>
                              </w:rPr>
                              <w:t>UND</w:t>
                            </w:r>
                          </w:p>
                        </w:tc>
                      </w:tr>
                      <w:tr w:rsidR="00EE1588" w:rsidRPr="00B1045B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</w:tcBorders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  <w:t>1 dúzia</w:t>
                            </w:r>
                          </w:p>
                        </w:tc>
                      </w:tr>
                      <w:tr w:rsidR="00EE1588" w:rsidRPr="00B1045B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E1588" w:rsidRPr="00B1045B" w:rsidRDefault="00EE1588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  <w:t>1 g</w:t>
                            </w:r>
                          </w:p>
                        </w:tc>
                      </w:tr>
                      <w:tr w:rsidR="00EE1588" w:rsidRPr="00B1045B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E1588" w:rsidRPr="00B1045B" w:rsidRDefault="00EE1588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  <w:t>1 g</w:t>
                            </w:r>
                          </w:p>
                        </w:tc>
                      </w:tr>
                      <w:tr w:rsidR="00EE1588" w:rsidRPr="00B1045B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E1588" w:rsidRPr="00B1045B" w:rsidRDefault="00EE1588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  <w:t>1 g</w:t>
                            </w:r>
                          </w:p>
                        </w:tc>
                      </w:tr>
                      <w:tr w:rsidR="00EE1588" w:rsidRPr="00B1045B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E1588" w:rsidRPr="00B1045B" w:rsidRDefault="00EE1588" w:rsidP="006179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  <w:t>500g</w:t>
                            </w:r>
                          </w:p>
                        </w:tc>
                      </w:tr>
                      <w:tr w:rsidR="00EE1588" w:rsidRPr="00B1045B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  <w:t>500g</w:t>
                            </w:r>
                          </w:p>
                        </w:tc>
                      </w:tr>
                      <w:tr w:rsidR="00EE1588" w:rsidRPr="00B1045B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  <w:t>250g</w:t>
                            </w:r>
                          </w:p>
                        </w:tc>
                      </w:tr>
                      <w:tr w:rsidR="00EE1588" w:rsidRPr="00B1045B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Gasolina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E1588" w:rsidRPr="00B1045B" w:rsidRDefault="00EE1588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EE1588" w:rsidRPr="00B1045B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Álcool/etanol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EE1588" w:rsidRPr="00B1045B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EE1588" w:rsidRPr="00B1045B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Gás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bottom w:val="single" w:sz="4" w:space="0" w:color="auto"/>
                            </w:tcBorders>
                          </w:tcPr>
                          <w:p w:rsidR="00EE1588" w:rsidRPr="00B1045B" w:rsidRDefault="00EE158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</w:pPr>
                            <w:r w:rsidRPr="00B1045B">
                              <w:rPr>
                                <w:rFonts w:ascii="Yu Gothic UI Light" w:eastAsia="Yu Gothic UI Light" w:hAnsi="Yu Gothic UI Light" w:cs="Segoe UI"/>
                                <w:sz w:val="14"/>
                                <w:szCs w:val="14"/>
                              </w:rPr>
                              <w:t>13kg</w:t>
                            </w:r>
                          </w:p>
                        </w:tc>
                      </w:tr>
                    </w:tbl>
                    <w:p w:rsidR="00EE1588" w:rsidRPr="00B1045B" w:rsidRDefault="00EE1588" w:rsidP="00B1045B">
                      <w:pPr>
                        <w:spacing w:after="0" w:line="240" w:lineRule="auto"/>
                        <w:rPr>
                          <w:rFonts w:ascii="Yu Gothic UI Light" w:eastAsia="Yu Gothic UI Light" w:hAnsi="Yu Gothic UI Light" w:cs="Segoe UI"/>
                          <w:color w:val="000000" w:themeColor="text1"/>
                          <w:sz w:val="14"/>
                          <w:szCs w:val="14"/>
                        </w:rPr>
                      </w:pPr>
                      <w:r w:rsidRPr="00B1045B">
                        <w:rPr>
                          <w:rFonts w:ascii="Yu Gothic UI Light" w:eastAsia="Yu Gothic UI Light" w:hAnsi="Yu Gothic UI Light" w:cs="Segoe UI"/>
                          <w:color w:val="000000" w:themeColor="text1"/>
                          <w:sz w:val="14"/>
                          <w:szCs w:val="14"/>
                        </w:rPr>
                        <w:t>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073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incluídos </w:t>
      </w: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também </w:t>
      </w:r>
      <w:r w:rsidR="00E7073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os combustíveis: gasolina, álcool/etanol e óleo diesel comuns e o botijão de gás de cozinha (GLP) de treze quilos.</w:t>
      </w:r>
      <w:r w:rsidR="00B74525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Não existe pesquisa prévia oficial de consumo médio mensal por família. Sendo assim, as análises serão limitadas às variações no preço dos produtos.</w:t>
      </w:r>
    </w:p>
    <w:p w:rsidR="00A02216" w:rsidRPr="00C82199" w:rsidRDefault="00CE3174" w:rsidP="005B6F0E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911168" behindDoc="1" locked="0" layoutInCell="1" allowOverlap="1" wp14:anchorId="0157826F" wp14:editId="1533846A">
            <wp:simplePos x="0" y="0"/>
            <wp:positionH relativeFrom="column">
              <wp:posOffset>2872105</wp:posOffset>
            </wp:positionH>
            <wp:positionV relativeFrom="paragraph">
              <wp:posOffset>60325</wp:posOffset>
            </wp:positionV>
            <wp:extent cx="340995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79" y="21343"/>
                <wp:lineTo x="21479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0B4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O Ovo de Galinha apresentou um preço médio em outubro de R$7,49 por dúzia; R$2,04 maior que o constatado em setembro, R$5,46; correspondendo a um </w:t>
      </w:r>
      <w:r w:rsidR="006C60B4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acréscimo </w:t>
      </w:r>
      <w:r w:rsidR="006C60B4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de 37,31% e </w:t>
      </w:r>
      <w:r w:rsidR="006C60B4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um aumento acumulado de 3,20% de abril a outubro de 2020</w:t>
      </w:r>
      <w:r w:rsidR="006C60B4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>. O menor preço coletado foi R$6,19 e a diferença entre o maior e o menor preço coletado, que em setembro foi de 37,61%, passou a 61,39% em outubro, indicando ganho significativo de concorrência do produto, potencialmente benéfico ao consumidor</w:t>
      </w:r>
      <w:r w:rsidR="007352D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F5780B" w:rsidRPr="00C82199" w:rsidRDefault="00F63EE3" w:rsidP="005B6F0E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70208" behindDoc="1" locked="0" layoutInCell="1" allowOverlap="1" wp14:anchorId="746B90CD" wp14:editId="5D9EF9F3">
            <wp:simplePos x="0" y="0"/>
            <wp:positionH relativeFrom="column">
              <wp:posOffset>2877820</wp:posOffset>
            </wp:positionH>
            <wp:positionV relativeFrom="paragraph">
              <wp:posOffset>67945</wp:posOffset>
            </wp:positionV>
            <wp:extent cx="3403600" cy="1388110"/>
            <wp:effectExtent l="0" t="0" r="6350" b="2540"/>
            <wp:wrapTight wrapText="bothSides">
              <wp:wrapPolygon edited="0">
                <wp:start x="0" y="0"/>
                <wp:lineTo x="0" y="21343"/>
                <wp:lineTo x="21519" y="21343"/>
                <wp:lineTo x="21519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0B4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O Frango inteiro, fresco ou congelado, apresentou um preço médio em outubro de R$10,74 por quilograma; R$0,25 maior que o constatado em setembro, R$10,49; correspondendo a um </w:t>
      </w:r>
      <w:r w:rsidR="006C60B4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acréscimo </w:t>
      </w:r>
      <w:r w:rsidR="006C60B4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de 2,38% e </w:t>
      </w:r>
      <w:r w:rsidR="006C60B4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um aumento acumulado de 23,95% de abril a outubro de 2020</w:t>
      </w:r>
      <w:r w:rsidR="006C60B4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>. O menor preço coletado foi R$8,99 e a diferença entre o maior e o menor preço coletado, que em setembro foi de 33,37%, permaneceu estável em outubro, indicando estabilidade na concorrência do produto, potencialmente inócua ao consumidor</w:t>
      </w:r>
      <w:r w:rsidR="00A63D5E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7F0282" w:rsidRPr="00C82199" w:rsidRDefault="00F63EE3" w:rsidP="005B6F0E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72256" behindDoc="1" locked="0" layoutInCell="1" allowOverlap="1" wp14:anchorId="36E7D00C" wp14:editId="76251DFE">
            <wp:simplePos x="0" y="0"/>
            <wp:positionH relativeFrom="column">
              <wp:posOffset>2877820</wp:posOffset>
            </wp:positionH>
            <wp:positionV relativeFrom="paragraph">
              <wp:posOffset>57785</wp:posOffset>
            </wp:positionV>
            <wp:extent cx="3404235" cy="1388110"/>
            <wp:effectExtent l="0" t="0" r="5715" b="2540"/>
            <wp:wrapTight wrapText="bothSides">
              <wp:wrapPolygon edited="0">
                <wp:start x="0" y="0"/>
                <wp:lineTo x="0" y="21343"/>
                <wp:lineTo x="21515" y="21343"/>
                <wp:lineTo x="21515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0B4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O Batata Inglesa apresentou um preço médio em outubro de R$5,09 por quilograma; R$2,35 maior que o constatado em setembro, R$2,74; correspondendo a um </w:t>
      </w:r>
      <w:r w:rsidR="006C60B4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acréscimo </w:t>
      </w:r>
      <w:r w:rsidR="006C60B4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de 85,77% e </w:t>
      </w:r>
      <w:r w:rsidR="006C60B4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uma queda acumulada de -15,02% de abril a outubro de 2020</w:t>
      </w:r>
      <w:r w:rsidR="006C60B4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>. O menor preço coletado foi R$4,69 e a diferença entre o maior e o menor preço coletado, que em setembro foi de 20,08%, passou a 17,06% em outubro, indicando (perda significativa de concorrência do produto, potencialmente prejudicial ao consumidor</w:t>
      </w:r>
      <w:r w:rsidR="00713FD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AD45D7" w:rsidRPr="00C82199" w:rsidRDefault="00F63EE3" w:rsidP="003444A0">
      <w:pPr>
        <w:tabs>
          <w:tab w:val="left" w:pos="1701"/>
        </w:tabs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74304" behindDoc="1" locked="0" layoutInCell="1" allowOverlap="1" wp14:anchorId="08FC9DFA" wp14:editId="5E45274E">
            <wp:simplePos x="0" y="0"/>
            <wp:positionH relativeFrom="column">
              <wp:posOffset>2877820</wp:posOffset>
            </wp:positionH>
            <wp:positionV relativeFrom="paragraph">
              <wp:posOffset>59690</wp:posOffset>
            </wp:positionV>
            <wp:extent cx="3404235" cy="1388110"/>
            <wp:effectExtent l="0" t="0" r="5715" b="2540"/>
            <wp:wrapTight wrapText="bothSides">
              <wp:wrapPolygon edited="0">
                <wp:start x="0" y="0"/>
                <wp:lineTo x="0" y="21343"/>
                <wp:lineTo x="21515" y="21343"/>
                <wp:lineTo x="21515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378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A Laranja Pera apresentou um preço médio em outubro de R$2,29 por quilograma; R$0,11 maior que o constatado em setembro, R$2,09; correspondendo a um </w:t>
      </w:r>
      <w:r w:rsidR="00611378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acréscimo </w:t>
      </w:r>
      <w:r w:rsidR="00611378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de 5,02% e </w:t>
      </w:r>
      <w:r w:rsidR="00611378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uma queda acumulada de -8,16% de abril a outubro de 2020</w:t>
      </w:r>
      <w:r w:rsidR="00611378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>. O menor preço coletado foi R$2,00 e a diferença entre o maior e o menor preço coletado, que em setembro foi de 10,05%, passou a 19,50% em outubro, indicando ganho significativo de concorrência do produto, potencialmente benéfico ao consumidor</w:t>
      </w:r>
      <w:r w:rsidR="00AD45D7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BD5AAF" w:rsidRPr="00C82199" w:rsidRDefault="00ED159D" w:rsidP="003E2C50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876352" behindDoc="1" locked="0" layoutInCell="1" allowOverlap="1" wp14:anchorId="1E01D0FA" wp14:editId="46BAC10A">
            <wp:simplePos x="0" y="0"/>
            <wp:positionH relativeFrom="column">
              <wp:posOffset>2894330</wp:posOffset>
            </wp:positionH>
            <wp:positionV relativeFrom="paragraph">
              <wp:posOffset>78649</wp:posOffset>
            </wp:positionV>
            <wp:extent cx="3392170" cy="1388110"/>
            <wp:effectExtent l="0" t="0" r="17780" b="2540"/>
            <wp:wrapTight wrapText="bothSides">
              <wp:wrapPolygon edited="0">
                <wp:start x="0" y="0"/>
                <wp:lineTo x="0" y="21343"/>
                <wp:lineTo x="21592" y="21343"/>
                <wp:lineTo x="21592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867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O </w:t>
      </w:r>
      <w:r w:rsidR="006F2867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Macarrão tipo espaguete n</w:t>
      </w:r>
      <w:r w:rsidR="006F2867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  <w:vertAlign w:val="superscript"/>
        </w:rPr>
        <w:t>o</w:t>
      </w:r>
      <w:r w:rsidR="006F2867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8</w:t>
      </w:r>
      <w:r w:rsidR="006F2867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 apresentou um preço médio em outubro de R$2,37 por unidade de 500g; R$0,07 menor que o constatado em setembro, R$2,43; correspondendo a um </w:t>
      </w:r>
      <w:r w:rsidR="006F2867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decréscimo </w:t>
      </w:r>
      <w:r w:rsidR="006F2867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de -2,74% e </w:t>
      </w:r>
      <w:r w:rsidR="006F2867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uma queda acumulada de -10,92% de abril a outubro de 2020</w:t>
      </w:r>
      <w:r w:rsidR="006F2867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>. O menor preço coletado foi R$1,69 e a diferença entre o maior e o menor preço coletado, que em setembro foi de 2740%, passou a 71,01% em outubro, indicando ganho significativo de concorrência do produto, potencialmente benéfico ao consumidor</w:t>
      </w:r>
      <w:r w:rsidR="00AD45D7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A02216" w:rsidRPr="00C82199" w:rsidRDefault="00AD1DC3" w:rsidP="003E2C50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78400" behindDoc="1" locked="0" layoutInCell="1" allowOverlap="1" wp14:anchorId="058C7BA5" wp14:editId="797028B4">
            <wp:simplePos x="0" y="0"/>
            <wp:positionH relativeFrom="column">
              <wp:posOffset>2896235</wp:posOffset>
            </wp:positionH>
            <wp:positionV relativeFrom="paragraph">
              <wp:posOffset>94046</wp:posOffset>
            </wp:positionV>
            <wp:extent cx="3391535" cy="1388110"/>
            <wp:effectExtent l="0" t="0" r="18415" b="2540"/>
            <wp:wrapTight wrapText="bothSides">
              <wp:wrapPolygon edited="0">
                <wp:start x="0" y="0"/>
                <wp:lineTo x="0" y="21343"/>
                <wp:lineTo x="21596" y="21343"/>
                <wp:lineTo x="21596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867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A Farinha de Milho apresentou um preço médio em outubro de R$1,40 por unidade de 500g; sem variação relevante em relação ao constatado em setembro, R$1,39 (a diferença de 0,01 se dá devido ao arredondamento); correspondendo a um </w:t>
      </w:r>
      <w:r w:rsidR="006F2867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acréscimo </w:t>
      </w:r>
      <w:r w:rsidR="006F2867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de 0,36% e </w:t>
      </w:r>
      <w:r w:rsidR="006F2867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um aumento acumulado de 4,10% de abril a outubro de 2020</w:t>
      </w:r>
      <w:r w:rsidR="006F2867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>. O menor preço coletado foi R$1,15 e a diferença entre o maior e o menor preço coletado, que em setembro foi de 33,61%, passou a 55,65% em outubro, indicando ganho significativo de concorrência do produto, potencialmente benéfico ao consumidor</w:t>
      </w:r>
      <w:r w:rsidR="007A4141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7A4141" w:rsidRPr="00C82199" w:rsidRDefault="00D2108D" w:rsidP="003E2C50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80448" behindDoc="1" locked="0" layoutInCell="1" allowOverlap="1" wp14:anchorId="5ED67155" wp14:editId="63C6B21A">
            <wp:simplePos x="0" y="0"/>
            <wp:positionH relativeFrom="column">
              <wp:posOffset>2895600</wp:posOffset>
            </wp:positionH>
            <wp:positionV relativeFrom="paragraph">
              <wp:posOffset>66040</wp:posOffset>
            </wp:positionV>
            <wp:extent cx="3392170" cy="1388110"/>
            <wp:effectExtent l="0" t="0" r="17780" b="2540"/>
            <wp:wrapTight wrapText="bothSides">
              <wp:wrapPolygon edited="0">
                <wp:start x="0" y="0"/>
                <wp:lineTo x="0" y="21343"/>
                <wp:lineTo x="21592" y="21343"/>
                <wp:lineTo x="21592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867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A Margarina Vegetal apresentou um preço médio em outubro de R$2,32 por unidade de 250g; R$0,16 menor que o constatado em setembro, R$2,47; correspondendo a um </w:t>
      </w:r>
      <w:r w:rsidR="006F2867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decréscimo </w:t>
      </w:r>
      <w:r w:rsidR="006F2867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de -6,33% e </w:t>
      </w:r>
      <w:r w:rsidR="006F2867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uma queda acumulada de -0,99% de abril a outubro de 2020</w:t>
      </w:r>
      <w:r w:rsidR="006F2867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>. O menor preço coletado foi R$1,85 e a diferença entre o maior e o menor preço coletado, que em setembro foi de 130,18%, passou a 45,41% em outubro, indicando perda significativa de concorrência do produto, potencialmente prejudicial ao consumidor</w:t>
      </w:r>
      <w:r w:rsidR="007A4141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486372" w:rsidRPr="00C82199" w:rsidRDefault="00D2108D" w:rsidP="00B80EEF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82496" behindDoc="1" locked="0" layoutInCell="1" allowOverlap="1" wp14:anchorId="58AB82AF" wp14:editId="46C15B5A">
            <wp:simplePos x="0" y="0"/>
            <wp:positionH relativeFrom="column">
              <wp:posOffset>2895600</wp:posOffset>
            </wp:positionH>
            <wp:positionV relativeFrom="paragraph">
              <wp:posOffset>55880</wp:posOffset>
            </wp:positionV>
            <wp:extent cx="3392170" cy="1388110"/>
            <wp:effectExtent l="0" t="0" r="17780" b="2540"/>
            <wp:wrapTight wrapText="bothSides">
              <wp:wrapPolygon edited="0">
                <wp:start x="0" y="0"/>
                <wp:lineTo x="0" y="21343"/>
                <wp:lineTo x="21592" y="21343"/>
                <wp:lineTo x="21592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2B0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A Gasolina Comum apresentou um preço médio em outubro de R$4,698 por litro; R$0,008 maior que o constatado em setembro, R$4,690; correspondendo a um </w:t>
      </w:r>
      <w:r w:rsidR="00DB02B0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acréscimo </w:t>
      </w:r>
      <w:r w:rsidR="00DB02B0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de 0,16% e </w:t>
      </w:r>
      <w:r w:rsidR="00DB02B0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um aumento acumulado de 18,14% de abril a outubro de 2020</w:t>
      </w:r>
      <w:r w:rsidR="00DB02B0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>. O menor preço coletado foi R$4,680 e a diferença entre o maior e o menor preço coletado, que em setembro foi de 1,31%, passou a 0,85% em outubro, indicando perda significativa de concorrência do produto, potencialmente prejudicial ao consumidor</w:t>
      </w:r>
      <w:r w:rsidR="00486372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BD0597" w:rsidRPr="00C82199" w:rsidRDefault="00D52A4E" w:rsidP="00095D96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913216" behindDoc="1" locked="0" layoutInCell="1" allowOverlap="1" wp14:anchorId="02DA5521" wp14:editId="0D0086C4">
            <wp:simplePos x="0" y="0"/>
            <wp:positionH relativeFrom="column">
              <wp:posOffset>2895600</wp:posOffset>
            </wp:positionH>
            <wp:positionV relativeFrom="paragraph">
              <wp:posOffset>52070</wp:posOffset>
            </wp:positionV>
            <wp:extent cx="3386455" cy="1388110"/>
            <wp:effectExtent l="0" t="0" r="4445" b="2540"/>
            <wp:wrapTight wrapText="bothSides">
              <wp:wrapPolygon edited="0">
                <wp:start x="0" y="0"/>
                <wp:lineTo x="0" y="21343"/>
                <wp:lineTo x="21507" y="21343"/>
                <wp:lineTo x="21507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D9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</w:t>
      </w:r>
      <w:r w:rsidR="00DB02B0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O </w:t>
      </w:r>
      <w:r w:rsidR="00DB02B0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Álcool/Etanol</w:t>
      </w:r>
      <w:r w:rsidR="00DB02B0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 Comum apresentou um preço médio em outubro de R$3,810 por litro; Restável em relação a setembro e </w:t>
      </w:r>
      <w:r w:rsidR="00DB02B0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um (aumento/queda) acumulado de 3,76% de abril a outubro de 2020</w:t>
      </w:r>
      <w:r w:rsidR="00DB02B0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>. O menor preço coletado foi R$3,690 e a diferença entre o maior e o menor preço coletado, que em setembro foi nula, passou a 1,90% em outubro, indicando ganho significativo de concorrência do produto, potencialmente benéfico ao consumidor</w:t>
      </w:r>
      <w:r w:rsidR="00BD0597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5C26E1" w:rsidRPr="00C82199" w:rsidRDefault="00566B30" w:rsidP="003444A0">
      <w:pPr>
        <w:tabs>
          <w:tab w:val="left" w:pos="1701"/>
        </w:tabs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86592" behindDoc="1" locked="0" layoutInCell="1" allowOverlap="1" wp14:anchorId="683ED463" wp14:editId="4D66B9DD">
            <wp:simplePos x="0" y="0"/>
            <wp:positionH relativeFrom="column">
              <wp:posOffset>2895600</wp:posOffset>
            </wp:positionH>
            <wp:positionV relativeFrom="paragraph">
              <wp:posOffset>67945</wp:posOffset>
            </wp:positionV>
            <wp:extent cx="3392170" cy="1388110"/>
            <wp:effectExtent l="0" t="0" r="17780" b="2540"/>
            <wp:wrapTight wrapText="bothSides">
              <wp:wrapPolygon edited="0">
                <wp:start x="0" y="0"/>
                <wp:lineTo x="0" y="21343"/>
                <wp:lineTo x="21592" y="21343"/>
                <wp:lineTo x="21592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BD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A relação entre os preços da médios da gasolina e do álcool/etanol </w:t>
      </w:r>
      <w:r w:rsidR="00815D1B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em </w:t>
      </w:r>
      <w:r w:rsidR="00DB02B0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outubro</w:t>
      </w:r>
      <w:r w:rsidR="00815D1B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foi</w:t>
      </w:r>
      <w:r w:rsidR="00B80EEF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de </w:t>
      </w:r>
      <w:r w:rsidR="00DB02B0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81,11; ou 0,81</w:t>
      </w:r>
      <w:r w:rsidR="003A0BD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%</w:t>
      </w:r>
      <w:r w:rsidR="00DB02B0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,</w:t>
      </w:r>
      <w:r w:rsidR="003A0BD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implicando ser mais vantajoso para o consumidor abastecer seu veículo com gasolina, segundo os padrões estabelecidos pelo </w:t>
      </w:r>
      <w:r w:rsidR="003A0BD6" w:rsidRPr="00C82199">
        <w:rPr>
          <w:rStyle w:val="st1"/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Instituto Nacional de Metrologia, Qualidade e Tecnologia </w:t>
      </w:r>
      <w:r w:rsidR="003A0BD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– Inmetro (até 70%) e considerando que este aceite os dois combustíveis</w:t>
      </w:r>
      <w:r w:rsidR="00872218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0E6E06" w:rsidRPr="00C82199" w:rsidRDefault="00566B30" w:rsidP="00B80EEF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88640" behindDoc="1" locked="0" layoutInCell="1" allowOverlap="1" wp14:anchorId="78F53104" wp14:editId="71666F92">
            <wp:simplePos x="0" y="0"/>
            <wp:positionH relativeFrom="column">
              <wp:posOffset>2895600</wp:posOffset>
            </wp:positionH>
            <wp:positionV relativeFrom="paragraph">
              <wp:posOffset>100594</wp:posOffset>
            </wp:positionV>
            <wp:extent cx="3392170" cy="1388110"/>
            <wp:effectExtent l="0" t="0" r="17780" b="2540"/>
            <wp:wrapTight wrapText="bothSides">
              <wp:wrapPolygon edited="0">
                <wp:start x="0" y="0"/>
                <wp:lineTo x="0" y="21343"/>
                <wp:lineTo x="21592" y="21343"/>
                <wp:lineTo x="21592" y="0"/>
                <wp:lineTo x="0" y="0"/>
              </wp:wrapPolygon>
            </wp:wrapTight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2B0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Óleo Diesel Comum apresentou um preço médio em outubro de R$3,810 por litro; R$0,076 maior que o constatado em setembro, R$3,734; correspondendo a um </w:t>
      </w:r>
      <w:r w:rsidR="00DB02B0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 xml:space="preserve">acréscimo </w:t>
      </w:r>
      <w:r w:rsidR="00DB02B0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de 2,05% e </w:t>
      </w:r>
      <w:r w:rsidR="00DB02B0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um aumento acumulado de 13,43% de abril a outubro de 2020</w:t>
      </w:r>
      <w:r w:rsidR="00DB02B0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>. O menor preço coletado foi R$2,760 e a diferença entre o maior e o menor preço coletado, que em setembro foi de 1,90%, passou a 38,04% em outubro, indicando ganho significativo de concorrência do produto, potencialmente benéfico ao consumidor</w:t>
      </w:r>
      <w:r w:rsidR="000E6E06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801225" w:rsidRPr="00C82199" w:rsidRDefault="00566B30" w:rsidP="00B80EEF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890688" behindDoc="1" locked="0" layoutInCell="1" allowOverlap="1" wp14:anchorId="01D31D78" wp14:editId="1B1E2796">
            <wp:simplePos x="0" y="0"/>
            <wp:positionH relativeFrom="column">
              <wp:posOffset>2872105</wp:posOffset>
            </wp:positionH>
            <wp:positionV relativeFrom="paragraph">
              <wp:posOffset>59690</wp:posOffset>
            </wp:positionV>
            <wp:extent cx="3416300" cy="1388110"/>
            <wp:effectExtent l="0" t="0" r="12700" b="2540"/>
            <wp:wrapTight wrapText="bothSides">
              <wp:wrapPolygon edited="0">
                <wp:start x="0" y="0"/>
                <wp:lineTo x="0" y="21343"/>
                <wp:lineTo x="21560" y="21343"/>
                <wp:lineTo x="21560" y="0"/>
                <wp:lineTo x="0" y="0"/>
              </wp:wrapPolygon>
            </wp:wrapTight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EEF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</w:t>
      </w:r>
      <w:r w:rsidR="00DF5B2A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 xml:space="preserve">Gás de Cozinha apresentou um preço médio em outubro de R$87,50 por botijão de treze quilogramas; estável em relação ao constatado em setembro e </w:t>
      </w:r>
      <w:r w:rsidR="00DF5B2A" w:rsidRPr="00C82199">
        <w:rPr>
          <w:rFonts w:ascii="Yu Gothic UI Semilight" w:eastAsia="Yu Gothic UI Semilight" w:hAnsi="Yu Gothic UI Semilight" w:cstheme="minorHAnsi"/>
          <w:color w:val="000000" w:themeColor="text1"/>
          <w:sz w:val="18"/>
          <w:szCs w:val="18"/>
        </w:rPr>
        <w:t>um aumento acumulado de 9,38% de abril a outubro de 2020</w:t>
      </w:r>
      <w:r w:rsidR="00DF5B2A" w:rsidRPr="00C82199">
        <w:rPr>
          <w:rFonts w:ascii="Yu Gothic UI Semilight" w:eastAsia="Yu Gothic UI Semilight" w:hAnsi="Yu Gothic UI Semilight" w:cs="Nirmala UI"/>
          <w:color w:val="000000" w:themeColor="text1"/>
          <w:sz w:val="18"/>
          <w:szCs w:val="18"/>
        </w:rPr>
        <w:t>. O menor preço coletado foi R$85,00 e a diferença entre o maior e o menor preço coletado, que em setembro foi de 5,88%, permaneceu estável em outubro, indicando estabilidade na concorrência do produto, potencialmente inócua ao consumidor</w:t>
      </w:r>
      <w:r w:rsidR="00801225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p w:rsidR="00E14D09" w:rsidRPr="00C82199" w:rsidRDefault="00E14D09" w:rsidP="00B80EEF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</w:p>
    <w:p w:rsidR="00E14D09" w:rsidRPr="00C82199" w:rsidRDefault="00E14D09" w:rsidP="00B80EEF">
      <w:pPr>
        <w:spacing w:line="240" w:lineRule="auto"/>
        <w:ind w:firstLine="709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</w:p>
    <w:p w:rsidR="00C27238" w:rsidRPr="00C82199" w:rsidRDefault="00F80149" w:rsidP="00A41487">
      <w:pPr>
        <w:tabs>
          <w:tab w:val="left" w:pos="1701"/>
        </w:tabs>
        <w:spacing w:line="240" w:lineRule="auto"/>
        <w:jc w:val="center"/>
        <w:rPr>
          <w:rFonts w:ascii="Yu Gothic UI Semilight" w:eastAsia="Yu Gothic UI Semilight" w:hAnsi="Yu Gothic UI Semilight" w:cs="Segoe UI"/>
          <w:b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b/>
          <w:color w:val="000000" w:themeColor="text1"/>
          <w:sz w:val="18"/>
          <w:szCs w:val="18"/>
        </w:rPr>
        <w:lastRenderedPageBreak/>
        <w:t>Tabela</w:t>
      </w:r>
      <w:r w:rsidR="0061791E" w:rsidRPr="00C82199">
        <w:rPr>
          <w:rFonts w:ascii="Yu Gothic UI Semilight" w:eastAsia="Yu Gothic UI Semilight" w:hAnsi="Yu Gothic UI Semilight" w:cs="Segoe UI"/>
          <w:b/>
          <w:color w:val="000000" w:themeColor="text1"/>
          <w:sz w:val="18"/>
          <w:szCs w:val="18"/>
        </w:rPr>
        <w:t xml:space="preserve"> 3</w:t>
      </w:r>
      <w:r w:rsidR="00A20E97" w:rsidRPr="00C82199">
        <w:rPr>
          <w:rFonts w:ascii="Yu Gothic UI Semilight" w:eastAsia="Yu Gothic UI Semilight" w:hAnsi="Yu Gothic UI Semilight" w:cs="Segoe UI"/>
          <w:b/>
          <w:color w:val="000000" w:themeColor="text1"/>
          <w:sz w:val="18"/>
          <w:szCs w:val="18"/>
        </w:rPr>
        <w:t>: Detalhamento do cálculo do custo da Cesta Básica</w:t>
      </w:r>
      <w:r w:rsidR="008C5CA4" w:rsidRPr="00C82199">
        <w:rPr>
          <w:rFonts w:ascii="Yu Gothic UI Semilight" w:eastAsia="Yu Gothic UI Semilight" w:hAnsi="Yu Gothic UI Semilight" w:cs="Segoe UI"/>
          <w:b/>
          <w:color w:val="000000" w:themeColor="text1"/>
          <w:sz w:val="18"/>
          <w:szCs w:val="18"/>
        </w:rPr>
        <w:t xml:space="preserve"> </w:t>
      </w:r>
      <w:r w:rsidR="005A06CE" w:rsidRPr="00C82199">
        <w:rPr>
          <w:rFonts w:ascii="Yu Gothic UI Semilight" w:eastAsia="Yu Gothic UI Semilight" w:hAnsi="Yu Gothic UI Semilight" w:cs="Segoe UI"/>
          <w:b/>
          <w:color w:val="000000" w:themeColor="text1"/>
          <w:sz w:val="18"/>
          <w:szCs w:val="18"/>
        </w:rPr>
        <w:t xml:space="preserve">de Alimentos </w:t>
      </w:r>
      <w:r w:rsidR="008C5CA4" w:rsidRPr="00C82199">
        <w:rPr>
          <w:rFonts w:ascii="Yu Gothic UI Semilight" w:eastAsia="Yu Gothic UI Semilight" w:hAnsi="Yu Gothic UI Semilight" w:cs="Segoe UI"/>
          <w:b/>
          <w:color w:val="000000" w:themeColor="text1"/>
          <w:sz w:val="18"/>
          <w:szCs w:val="18"/>
        </w:rPr>
        <w:t>(R$)</w:t>
      </w:r>
    </w:p>
    <w:tbl>
      <w:tblPr>
        <w:tblStyle w:val="Tabelacomgrade"/>
        <w:tblW w:w="99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809"/>
        <w:gridCol w:w="809"/>
        <w:gridCol w:w="809"/>
        <w:gridCol w:w="809"/>
        <w:gridCol w:w="809"/>
        <w:gridCol w:w="809"/>
        <w:gridCol w:w="809"/>
      </w:tblGrid>
      <w:tr w:rsidR="00C82199" w:rsidRPr="00C82199" w:rsidTr="00E14D09">
        <w:trPr>
          <w:jc w:val="center"/>
        </w:trPr>
        <w:tc>
          <w:tcPr>
            <w:tcW w:w="4248" w:type="dxa"/>
          </w:tcPr>
          <w:p w:rsidR="00664CBC" w:rsidRPr="00C82199" w:rsidRDefault="00664CBC" w:rsidP="00B03E76">
            <w:pPr>
              <w:tabs>
                <w:tab w:val="left" w:pos="1701"/>
              </w:tabs>
              <w:jc w:val="both"/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</w:p>
        </w:tc>
        <w:tc>
          <w:tcPr>
            <w:tcW w:w="809" w:type="dxa"/>
            <w:vAlign w:val="bottom"/>
          </w:tcPr>
          <w:p w:rsidR="00664CBC" w:rsidRPr="00C82199" w:rsidRDefault="00664CBC" w:rsidP="00B03E76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664CBC" w:rsidRPr="00C82199" w:rsidRDefault="00664CBC" w:rsidP="00B03E76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664CBC" w:rsidRPr="00C82199" w:rsidRDefault="00664CBC" w:rsidP="00B03E76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664CBC" w:rsidRPr="00C82199" w:rsidRDefault="00664CBC" w:rsidP="00B03E76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664CBC" w:rsidRPr="00C82199" w:rsidRDefault="00664CBC" w:rsidP="00B03E76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664CBC" w:rsidRPr="00C82199" w:rsidRDefault="00664CBC" w:rsidP="00B03E76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664CBC" w:rsidRPr="00C82199" w:rsidRDefault="00664CBC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médio da cesta básica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415,17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389,14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386,27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361,76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381,05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411,04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426,61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-26,03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-2,87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-24,51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19,30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29,99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15,57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-0,74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-6,35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7,87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3,79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-6,21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-6,90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-12,81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-8,16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-0,93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2,82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mínimo da cesta básica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372,44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331,17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351,10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308,72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339,03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359,93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373,19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-41,28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19,94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-42,38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30,31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20,90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13,26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-11,08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6,02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-12,07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9,82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6,17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3,68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-12,00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-6,70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-17,96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-9,91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-4,36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-0,83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42,73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57,98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35,17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53,04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42,02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51,11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53,41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-10,29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-14,90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-14,66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-11,03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-12,43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-12,52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15,25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-22,81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17,87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-11,01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9,08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2,31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35,69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-39,34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50,80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-20,77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21,62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4,52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center"/>
          </w:tcPr>
          <w:p w:rsidR="00EE1588" w:rsidRPr="00C82199" w:rsidRDefault="00EE1588" w:rsidP="00EE1588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CARNE</w:t>
            </w:r>
          </w:p>
        </w:tc>
        <w:tc>
          <w:tcPr>
            <w:tcW w:w="809" w:type="dxa"/>
            <w:vAlign w:val="bottom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113,59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116,96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116,90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110,96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122,21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129,26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132,72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3,37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-5,94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11,24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7,06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3,46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-5,08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10,13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5,78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2,67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-2,32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7,58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13,79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16,84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27,36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30,05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30,26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30,67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32,07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31,45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31,11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-0,62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4,55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-1,94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9,78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10,55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12,04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17,14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14,87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13,64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98,96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107,96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108,41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89,96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107,96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110,21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112,46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-18,45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18,00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2,25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9,10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-17,02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2,08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2,04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9,10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9,55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-9,09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9,10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11,37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13,65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14,63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8,50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21,01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14,25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19,06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20,27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-12,88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-7,70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-7,27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-18,93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-11,66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-14,74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-15,27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-5,63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12,51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-6,76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4,81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1,21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-38,49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-5,58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147,22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-32,17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33,74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6,34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10,87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11,19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11,19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10,62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12,37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12,70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-0,57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-5,08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10,13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5,78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2,67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-2,32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7,58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13,79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16,84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11,81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12,17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12,16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11,54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12,71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13,45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13,80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-0,62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-5,08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10,13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5,78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2,67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-2,32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7,58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13,79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16,84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25,24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25,99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25,98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24,66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27,16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28,73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29,49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-1,32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-5,08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10,13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5,78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2,67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lastRenderedPageBreak/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-2,32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7,58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13,79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16,84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27,99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27,99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27,99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27,99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28,99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32,99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32,00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21,99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23,99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24,09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19,99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23,99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24,49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24,99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8,50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7,01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27,29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16,67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16,19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40,02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20,84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34,71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28,05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-3,00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-1,49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-33,33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-2,50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105,13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-37,50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70,00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-17,53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center"/>
          </w:tcPr>
          <w:p w:rsidR="00EE1588" w:rsidRPr="00C82199" w:rsidRDefault="00EE1588" w:rsidP="00EE1588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LEITE</w:t>
            </w:r>
          </w:p>
        </w:tc>
        <w:tc>
          <w:tcPr>
            <w:tcW w:w="809" w:type="dxa"/>
            <w:vAlign w:val="bottom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21,59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21,74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23,77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26,49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27,95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28,90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29,40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2,72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1,46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9,34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11,44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1,73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10,09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22,69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29,45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33,85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36,17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5,20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5,59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6,15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7,32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7,33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7,03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6,89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7,43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10,15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18,99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-4,14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-1,98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7,36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18,26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40,72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40,96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35,12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32,44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17,94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16,74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22,14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22,74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26,10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24,90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26,34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-1,20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5,40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3,36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-1,20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1,44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32,26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2,71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14,78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-4,60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5,78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23,41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26,75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45,48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38,79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46,82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3,65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1,63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3,75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3,06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-16,91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-23,00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-6,86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-14,16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-6,62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-13,84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-10,41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-3,37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2,12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-1,90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2,15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-0,94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36,99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-67,40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130,06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-50,67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116,22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-23,50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2,07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2,08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2,27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2,77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2,81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9,34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11,44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1,73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10,09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22,69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29,45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33,85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36,17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2,26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2,47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2,76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3,06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9,34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11,44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1,73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10,09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22,69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29,45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33,85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36,17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3,62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4,42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4,66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4,82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4,90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9,34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11,44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1,73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10,09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22,69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29,45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33,85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36,17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5,49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4,15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4,39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1,34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1,10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43,48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50,18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11,11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31,66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14,71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32,29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25,06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-0,56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-70,71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192,68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-46,67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109,38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-17,91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center"/>
          </w:tcPr>
          <w:p w:rsidR="00EE1588" w:rsidRPr="00C82199" w:rsidRDefault="00EE1588" w:rsidP="00EE1588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FEIJÃO</w:t>
            </w:r>
          </w:p>
        </w:tc>
        <w:tc>
          <w:tcPr>
            <w:tcW w:w="809" w:type="dxa"/>
            <w:vAlign w:val="bottom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EE1588" w:rsidRPr="00C82199" w:rsidRDefault="00EE1588" w:rsidP="00EE1588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lastRenderedPageBreak/>
              <w:t>Custo médio mensal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33,62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28,91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25,43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30,56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28,91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30,56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30,44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-4,71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-3,47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5,12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1,65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20,14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-5,40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-24,34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-9,44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8,10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7,43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6,58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8,45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7,59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7,43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7,14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-0,67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-0,84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1,86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-0,86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-8,26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-11,36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28,28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-10,19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-8,32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-18,73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4,25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-6,37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-8,25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-11,92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28,31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15,71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19,49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26,96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22,46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23,81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26,06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-12,60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3,78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7,47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-4,50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2,25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-44,52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24,07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38,34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-16,69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9,45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-44,52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-31,17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-4,78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-20,67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-15,91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-7,96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5,31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13,20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5,95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6,45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6,75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4,39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-15,80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-45,67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-23,39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-11,78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-22,31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-22,09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-14,41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7,89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-7,25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-2,35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2,85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-2,36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148,59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-54,94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-39,47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79,17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4,65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-35,00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3,22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2,77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2,43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2,92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2,77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2,92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2,91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20,14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-5,40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-24,34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-9,44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2,65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3,18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3,18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3,17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-0,49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20,14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-5,40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-24,34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-11,66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-20,81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-21,64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-28,74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7,45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5,87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5,65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6,79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6,42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6,79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6,77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-1,58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-21,16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-3,77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20,14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-5,40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-21,16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-24,14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-8,86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-13,78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-8,86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-9,19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8,59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6,55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7,49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7,89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7,79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6,29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4,33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5,29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5,79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2,30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2,22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36,57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128,94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51,27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25,04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56,11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49,15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34,54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-2,28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-0,72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-0,60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E14D09" w:rsidRPr="00C82199" w:rsidRDefault="00E14D09" w:rsidP="00E14D09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95,65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-50,67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-32,43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86,67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14D09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-7,14</w:t>
            </w:r>
          </w:p>
        </w:tc>
        <w:tc>
          <w:tcPr>
            <w:tcW w:w="809" w:type="dxa"/>
            <w:vAlign w:val="bottom"/>
          </w:tcPr>
          <w:p w:rsidR="00E14D09" w:rsidRPr="00C82199" w:rsidRDefault="00E14D09" w:rsidP="00EE1588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-23,08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ARROZ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12,32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13,10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12,35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13,22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13,28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16,40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16,76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-0,75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-5,72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23,49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2,19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36,03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3,93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-4,63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-1,53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7,68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23,07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34,36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32,30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lastRenderedPageBreak/>
              <w:t>Custo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12,56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10,80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12,20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10,76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14,36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14,36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-1,76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-14,04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-11,80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-5,96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6,27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25,07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25,07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0,54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1,55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2,52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2,40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-6,82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-4,12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-12,58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-7,71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-18,97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-12,44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-14,32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-35,71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187,78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-34,36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147,06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-19,05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17,65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1,27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1,27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1,57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1,60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-5,72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23,49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2,19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36,03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1,74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-5,72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23,49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2,19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36,03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3,42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3,43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4,66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-5,72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23,49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2,19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36,03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12,54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29,67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25,06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122,50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-32,58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66,67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FARINHA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12,97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15,50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13,54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15,40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15,12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19,05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18,79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-1,96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1,86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3,93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-1,38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18,74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16,58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46,88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44,86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3,98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4,63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4,40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0,86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27,46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-11,97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21,44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16,80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-4,98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27,38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36,18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26,94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48,26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40,88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9,27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13,77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9,57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9,27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11,67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48,54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-15,25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-17,99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48,54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3,23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25,89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5,83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7,12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-28,53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-11,13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-13,81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-37,86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-38,69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-38,74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-37,88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-1,98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3,96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-53,38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211,76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26,15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-3,56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lastRenderedPageBreak/>
              <w:t>Custo em relação ao salário mínimo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1,80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-1,38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18,74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16,58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46,88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44,86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1,57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1,98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1,95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-1,38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18,74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16,58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46,88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44,86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4,32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6,35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6,26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-0,65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1,31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-1,38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18,74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16,58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46,88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44,86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3,89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4,10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61,49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41,39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31,11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84,64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132,69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84,83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105,40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0,80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-36,32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123,14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51,85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-19,51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24,24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TOMATE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80,88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53,88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56,16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34,68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39,24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50,88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59,88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-27,00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-21,48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4,23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-38,25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29,66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17,69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-57,12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-51,48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-37,09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-25,96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19,48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13,85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14,54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9,59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10,30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12,38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14,04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-1,96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1,86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3,93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-28,93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-34,06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7,42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13,39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-28,97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-25,41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-50,82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-47,17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-36,50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-27,99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77,88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35,88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54,72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23,88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37,08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47,88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59,88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18,84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-30,84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-53,93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52,51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-56,36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55,28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29,13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25,06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-53,93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-29,74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-69,34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-52,39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-38,52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-23,11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18,00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10,80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-3,71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-33,41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-2,56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-31,14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-5,50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-5,90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-16,56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500,00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650,00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38,89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-100,00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3,32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3,76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5,73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-2,58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0,86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4,23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-38,25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29,66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17,69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-57,12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-51,48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-37,09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-25,96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6,23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-2,23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0,94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4,23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-38,25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29,66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17,69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-57,12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-51,48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-37,09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-25,96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lastRenderedPageBreak/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4,68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3,27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4,23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-38,25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29,66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17,69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-57,12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-51,48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-37,09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-25,96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100,33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90,45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132,69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-2,76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-0,50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500,00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650,00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127,78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-87,80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-100,00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PÃO FRANCÊS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67,47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67,47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67,47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67,47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67,47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65,70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65,70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-1,77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-2,62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16,25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17,34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17,47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18,65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17,71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15,98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15,40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-0,94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-1,72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-0,58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6,78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-9,73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-3,65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-5,30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62,94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62,94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62,94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62,94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62,94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59,40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59,40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-3,54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-5,62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6,30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-6,71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-6,71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-6,71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-6,71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-6,71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-9,59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-9,59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1,77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6,29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-2,62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6,83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6,83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-2,62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10,95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10,95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-2,62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9,90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2,10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21,21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21,21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lastRenderedPageBreak/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CAFÉ EM PÓ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4,55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4,86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4,42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4,51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-1,82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1,06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5,57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-4,43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-1,73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13,54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-2,83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-4,52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3,72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3,83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4,14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7,72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-11,17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15,38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-46,14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-52,16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-50,77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-53,86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-46,76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-46,76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0,52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0,37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-15,40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-7,92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-23,43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-11,96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-16,56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-6,42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-8,24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-49,15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216,11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-54,31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36,92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-60,11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30,99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-1,82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-1,82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3,83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3,58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3,76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-1,82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4,29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3,45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0,84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32,41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64,52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18,81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26,76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24,35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24,35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122,22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BANANA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24,66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24,66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24,26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17,46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21,06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22,23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21,96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-28,01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-1,21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-29,20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-14,60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-10,95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5,94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4,83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5,15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lastRenderedPageBreak/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-0,91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-23,14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-4,82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5,65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-18,80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-13,39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22,41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22,41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20,61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17,01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19,71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24,75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19,71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-5,04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-17,47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15,87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25,57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-20,36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-24,10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-12,05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3,65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-2,52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2,25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-9,12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-9,12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-15,03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-2,58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-6,41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11,34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-10,25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4,77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-87,65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-286,67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-189,29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2,32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2,10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-0,65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-28,01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-1,21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-29,20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-14,60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-10,95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2,57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2,57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2,52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2,31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2,28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-28,01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-1,21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-29,20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-14,60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-10,95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1,94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2,44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-0,76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-28,01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-1,21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-29,20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-14,60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-10,95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2,69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2,19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35,37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22,83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-20,36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22,83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-87,65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400,00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-212,00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-189,29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AÇÚCAR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7,98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7,32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7,77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7,70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-0,54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-6,77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-0,90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-3,87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1,93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1,93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1,80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-6,07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-4,52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6,22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-6,51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7,35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7,05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10,65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-11,84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-4,08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0,65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lastRenderedPageBreak/>
              <w:t>Diferença entre os custos médio e mínimo mensal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-8,24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-10,15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-12,90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-2,05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-6,52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-7,72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-8,44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22,73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18,52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-84,37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233,33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8,33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0,74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-6,77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-0,90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-3,87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0,80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-6,77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-0,90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-3,87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2,57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-6,77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-0,90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-3,87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2,69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2,35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17,96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20,92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29,63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12,55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12,55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14,47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-0,54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28,00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-84,38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13,33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ÓLEO/BANHA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3,94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7,61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1,15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24,97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17,85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-11,47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23,22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53,98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81,47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1,57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1,78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17,63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19,94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15,85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13,55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11,86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34,17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55,44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76,51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3,72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5,72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8,98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13,98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8,39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2,27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28,70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46,69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58,99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1,41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-7,06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-5,63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-2,53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-2,92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-11,46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-18,57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-75,33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89,19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45,71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390,20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91,00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0,73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24,97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17,85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-11,47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23,22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53,98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81,47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0,54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0,79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lastRenderedPageBreak/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24,97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17,85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-11,47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23,22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53,98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81,47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4,72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7,27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8,57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1,30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24,97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17,85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-11,47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23,22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53,98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81,47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9,79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5,65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6,98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2,81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24,07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40,26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1,26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138,10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355,88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81,29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MANTEIGA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31,28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30,47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30,38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29,76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28,69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29,41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31,14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1,73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5,87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-5,96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-0,45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7,83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7,86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8,23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7,30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3,93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-4,95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3,86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-3,18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28,13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28,13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26,48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28,49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26,99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25,94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25,94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-5,27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-7,79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-10,07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-7,68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-12,85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-4,28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-5,93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-11,82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-16,70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-2,63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1,78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1,73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-25,71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66,77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-67,33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104,41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49,64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2,92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2,98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5,87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-5,96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-0,45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2,98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3,24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5,87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-5,96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-0,45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20,85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20,31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20,25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19,84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19,12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19,61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20,76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-0,54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-0,72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1,15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5,87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-5,96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-0,45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22,99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23,72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22,26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21,99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24,59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lastRenderedPageBreak/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18,75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18,75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17,65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18,99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17,29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7,30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22,61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26,51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26,12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16,68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27,18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42,22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2,60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17,22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-69,63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114,29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56,67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55,32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ANÁLISE AGREGADA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Cesta Básica de Teresina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Nãodisp.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Cesta Básica do Nordeste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Cesta Básica do Brasil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4"/>
                <w:szCs w:val="14"/>
              </w:rPr>
              <w:t>Não disp.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Cesta Básica em Parnaíba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383,66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379,13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374,61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370,10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401,82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385,51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419,03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em relação a Parnaíba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31,51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-20,76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7,58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em relação a Parnaíba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3,11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1,81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-21,49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-12,42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46,29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-17,94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-68,21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16,40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-171,51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149,02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-222,95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-70,29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-68,21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-64,27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-261,94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-220,21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-520,49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-759,61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Cesta Básica em Ilha Grande de Santa Isabel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460,60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439,73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463,84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473,31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471,64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em relação a Ilha Grande de Santa Isabel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-74,32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-77,97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-82,79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-62,27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-45,03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em relação a Ilha Grande de Santa Isabel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-16,14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-17,73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-17,85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-13,16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-9,55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20,52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17,24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-24,79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-27,68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9,25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Cesta Básica em Cajueiro da Praia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443,91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454,77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461,00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470,35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em relação a Cajueiro da Praia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-82,15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-73,71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-49,96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-43,75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em relação a Cajueiro da Praia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-18,51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-16,21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-9,30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23,75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6,21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-32,23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-12,44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-9,22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Jornada de trabalho mensal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220,00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Salário mínimo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1.045,00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Salário mínimo líquido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961,40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Custo da cesta básica em horas de trabalho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87,40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81,92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81,32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76,16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80,22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86,53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89,81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-5,48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-5,16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4,06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6,31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3,28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-0,74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-6,35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7,87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3,79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-6,21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-6,90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-12,81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-8,16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2,75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Porcentagem do salário mínimo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39,73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37,24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36,96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34,62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36,46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39,33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40,82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-2,49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-2,35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2,87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1,49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-0,74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-6,35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7,87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3,79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-6,21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-6,90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-12,81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-8,16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2,75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Porcentagem do salário mínimo líquido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43,18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40,48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40,18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37,63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39,64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42,75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44,37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-2,71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-2,55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2,01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3,12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1,62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-0,74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-6,35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7,87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3,79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-6,21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-6,90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-12,81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-8,16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809" w:type="dxa"/>
            <w:vAlign w:val="center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2,75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PRODUTOS EXTA-CESTA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lastRenderedPageBreak/>
              <w:t>OVO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6,98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7,49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-1,22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0,94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-0,73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2,04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-16,81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15,56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-2,43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37,31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-16,81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-13,93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-16,02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-24,84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6,52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6,75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6,19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1,72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3,80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50,73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35,83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49,79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38,27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37,61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61,39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-1,35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2,16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-38,35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-78,49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545,95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-16,74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-17,59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131,71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FRANGO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7,12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9,49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10,74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-15,29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-6,32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18,00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2,38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-15,29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-17,81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21,06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23,95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36,05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118,24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67,86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32,04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33,37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-2,31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118,52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-39,15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BATATA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6,26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5,09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2,35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-41,85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-20,35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85,77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1,67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-39,23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-42,57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-54,26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-15,02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5,49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5,93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4,69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0,80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17,06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5,00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LARANJA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1,64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-12,55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55,26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-49,46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31,45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5,02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-12,55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35,78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-31,38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-33,47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-12,55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-8,16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2,39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52,91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80,54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9,35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131,31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157,30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19,50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-0,91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-75,83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348,28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-85,71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95,00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MACARRÃO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2,71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2,68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2,43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2,37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-0,86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-9,32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-2,74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-7,97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-8,41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-10,92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2,63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2,89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1,69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55,28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29,29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16,37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24,10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27,40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71,01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-36,36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-47,14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62,16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100,00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FARINHA DE MILHO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1,44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1,40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25,28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-22,86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39,30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7,46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3,73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4,10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1,79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1,15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15,50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31,01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45,87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31,01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33,61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55,65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-13,79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60,00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MARGARINA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2,87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2,48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2,47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2,32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0,53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22,51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-13,60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-6,33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22,51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5,84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-0,99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2,69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1,85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0,84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88,76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175,88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9,75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100,63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100,63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130,18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45,41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-3,27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-1,36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133,33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-93,43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595,65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37,50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-61,82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GASOLINA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3,976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3,976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4,240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4,436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4,588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4,690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4,698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0,263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0,152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0,008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6,621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4,636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3,42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2,22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6,62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15,38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17,94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18,14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3,990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3,990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4,290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4,490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4,620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4,720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3,949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3,949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4,159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4,349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4,549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4,659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1,31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lastRenderedPageBreak/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219,51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7,63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-49,65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-14,08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-100,00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ETANOL/ÁLCOOL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3,780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3,810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3,810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0,170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4,709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0,794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3,780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3,810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3,76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3,780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3,810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3,760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3,780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3,810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3,690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1,90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0,07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1,90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EFICIÊNCIA GASOLINA/ÁLCOOL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0,82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0,81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Eficiência gasolina/álcool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85,15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81,38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82,39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81,24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81,11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-4,43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-0,16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DIESEL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3,359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3,159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3,42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3,830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3,734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3,810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0,258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-0,096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0,076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-5,95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8,26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4,43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7,237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-2,512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2,05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-5,95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1,81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14,02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11,16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13,43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3,400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3,440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4,650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3,760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3,810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3,359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3,159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3,21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3,35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3,489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3,690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2,760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1,05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1,22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14,05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9,29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33,28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38,04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-0,14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-1,09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0,98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585,37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60,50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-31,04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273,31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-93,97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1.400,00</w:t>
            </w:r>
          </w:p>
        </w:tc>
      </w:tr>
      <w:tr w:rsidR="00C82199" w:rsidRPr="00C82199" w:rsidTr="00E14D09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GÁS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09" w:type="dxa"/>
          </w:tcPr>
          <w:p w:rsidR="001E1940" w:rsidRPr="00C82199" w:rsidRDefault="001E1940" w:rsidP="001E1940">
            <w:pPr>
              <w:jc w:val="center"/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83,33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87,50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86,50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87,50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3,33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-87,50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-1,14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-100,00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8,13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9,38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-100,00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90,00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83,00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85,00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5,00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center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8,43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5,88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82199" w:rsidRPr="00C82199" w:rsidTr="00EE1588">
        <w:trPr>
          <w:jc w:val="center"/>
        </w:trPr>
        <w:tc>
          <w:tcPr>
            <w:tcW w:w="4248" w:type="dxa"/>
            <w:vAlign w:val="bottom"/>
          </w:tcPr>
          <w:p w:rsidR="001E1940" w:rsidRPr="00C82199" w:rsidRDefault="001E1940" w:rsidP="001E1940">
            <w:pPr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-28,57</w:t>
            </w:r>
          </w:p>
        </w:tc>
        <w:tc>
          <w:tcPr>
            <w:tcW w:w="809" w:type="dxa"/>
            <w:vAlign w:val="bottom"/>
          </w:tcPr>
          <w:p w:rsidR="001E1940" w:rsidRPr="00C82199" w:rsidRDefault="001E1940" w:rsidP="001E1940">
            <w:pPr>
              <w:jc w:val="right"/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</w:pPr>
            <w:r w:rsidRPr="00C82199">
              <w:rPr>
                <w:rFonts w:ascii="Yu Gothic UI Semilight" w:eastAsia="Yu Gothic UI Semilight" w:hAnsi="Yu Gothic UI Semilight" w:cs="Arial"/>
                <w:color w:val="000000" w:themeColor="text1"/>
                <w:sz w:val="16"/>
                <w:szCs w:val="16"/>
              </w:rPr>
              <w:t>-</w:t>
            </w:r>
          </w:p>
        </w:tc>
      </w:tr>
    </w:tbl>
    <w:p w:rsidR="00C27238" w:rsidRPr="00C82199" w:rsidRDefault="00E156AA" w:rsidP="00190E73">
      <w:pPr>
        <w:tabs>
          <w:tab w:val="left" w:pos="1701"/>
        </w:tabs>
        <w:spacing w:after="0" w:line="240" w:lineRule="auto"/>
        <w:jc w:val="both"/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</w:pPr>
      <w:r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 xml:space="preserve"> </w:t>
      </w:r>
      <w:r w:rsidR="00A20E97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Fonte: Pesquisa de campo (</w:t>
      </w:r>
      <w:r w:rsidR="001E1940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outubro</w:t>
      </w:r>
      <w:r w:rsidR="001E7434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/</w:t>
      </w:r>
      <w:r w:rsidR="00A20E97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2020)</w:t>
      </w:r>
      <w:r w:rsidR="0062789B" w:rsidRPr="00C82199">
        <w:rPr>
          <w:rFonts w:ascii="Yu Gothic UI Semilight" w:eastAsia="Yu Gothic UI Semilight" w:hAnsi="Yu Gothic UI Semilight" w:cs="Segoe UI"/>
          <w:color w:val="000000" w:themeColor="text1"/>
          <w:sz w:val="18"/>
          <w:szCs w:val="18"/>
        </w:rPr>
        <w:t>.</w:t>
      </w:r>
    </w:p>
    <w:sectPr w:rsidR="00C27238" w:rsidRPr="00C82199" w:rsidSect="005A151B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943" w:rsidRDefault="00D04943" w:rsidP="002A0D28">
      <w:pPr>
        <w:spacing w:after="0" w:line="240" w:lineRule="auto"/>
      </w:pPr>
      <w:r>
        <w:separator/>
      </w:r>
    </w:p>
  </w:endnote>
  <w:endnote w:type="continuationSeparator" w:id="0">
    <w:p w:rsidR="00D04943" w:rsidRDefault="00D04943" w:rsidP="002A0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CCD" w:rsidRDefault="00C37CC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588" w:rsidRPr="0052403C" w:rsidRDefault="00EE1588" w:rsidP="00141B6A">
    <w:pPr>
      <w:pStyle w:val="Rodap"/>
      <w:jc w:val="center"/>
      <w:rPr>
        <w:rFonts w:ascii="Yu Gothic UI Light" w:eastAsia="Yu Gothic UI Light" w:hAnsi="Yu Gothic UI Light" w:cs="Segoe UI"/>
        <w:b/>
        <w:sz w:val="14"/>
        <w:szCs w:val="14"/>
      </w:rPr>
    </w:pPr>
    <w:r w:rsidRPr="0052403C">
      <w:rPr>
        <w:rFonts w:ascii="Yu Gothic UI Light" w:eastAsia="Yu Gothic UI Light" w:hAnsi="Yu Gothic UI Light" w:cs="Segoe UI"/>
        <w:b/>
        <w:sz w:val="14"/>
        <w:szCs w:val="14"/>
      </w:rPr>
      <w:t>Sábio é aquele que conhece os limites da própria ignorância</w:t>
    </w:r>
  </w:p>
  <w:p w:rsidR="00EE1588" w:rsidRPr="0052403C" w:rsidRDefault="00EE1588" w:rsidP="00D92C16">
    <w:pPr>
      <w:pStyle w:val="Rodap"/>
      <w:jc w:val="center"/>
      <w:rPr>
        <w:rFonts w:ascii="Yu Gothic UI Light" w:eastAsia="Yu Gothic UI Light" w:hAnsi="Yu Gothic UI Light" w:cs="Segoe UI"/>
        <w:b/>
        <w:sz w:val="14"/>
        <w:szCs w:val="14"/>
      </w:rPr>
    </w:pPr>
    <w:r w:rsidRPr="0052403C">
      <w:rPr>
        <w:rFonts w:ascii="Yu Gothic UI Light" w:eastAsia="Yu Gothic UI Light" w:hAnsi="Yu Gothic UI Light" w:cs="Segoe UI"/>
        <w:sz w:val="14"/>
        <w:szCs w:val="14"/>
      </w:rPr>
      <w:t>Sócrates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CCD" w:rsidRDefault="00C37CC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943" w:rsidRDefault="00D04943" w:rsidP="002A0D28">
      <w:pPr>
        <w:spacing w:after="0" w:line="240" w:lineRule="auto"/>
      </w:pPr>
      <w:r>
        <w:separator/>
      </w:r>
    </w:p>
  </w:footnote>
  <w:footnote w:type="continuationSeparator" w:id="0">
    <w:p w:rsidR="00D04943" w:rsidRDefault="00D04943" w:rsidP="002A0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CCD" w:rsidRDefault="00C37CC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1540"/>
      <w:docPartObj>
        <w:docPartGallery w:val="Page Numbers (Top of Page)"/>
        <w:docPartUnique/>
      </w:docPartObj>
    </w:sdtPr>
    <w:sdtEndPr/>
    <w:sdtContent>
      <w:p w:rsidR="00EE1588" w:rsidRDefault="00EE1588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97F4CD6" wp14:editId="73B36E67">
                  <wp:simplePos x="0" y="0"/>
                  <wp:positionH relativeFrom="column">
                    <wp:posOffset>924643</wp:posOffset>
                  </wp:positionH>
                  <wp:positionV relativeFrom="paragraph">
                    <wp:posOffset>-224584</wp:posOffset>
                  </wp:positionV>
                  <wp:extent cx="4607626" cy="1081405"/>
                  <wp:effectExtent l="0" t="0" r="2540" b="4445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626" cy="1081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1588" w:rsidRPr="003A56BD" w:rsidRDefault="00EE1588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Yu Gothic UI Semilight" w:eastAsia="Yu Gothic UI Semilight" w:hAnsi="Yu Gothic UI Semilight" w:cs="Segoe U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A56BD">
                                <w:rPr>
                                  <w:rFonts w:ascii="Yu Gothic UI Semilight" w:eastAsia="Yu Gothic UI Semilight" w:hAnsi="Yu Gothic UI Semilight" w:cs="Segoe UI"/>
                                  <w:b/>
                                  <w:sz w:val="18"/>
                                  <w:szCs w:val="18"/>
                                </w:rPr>
                                <w:t>UNIVERSIDADE FEDERAL DO DELTA DO PARNAÍBA</w:t>
                              </w:r>
                            </w:p>
                            <w:p w:rsidR="00EE1588" w:rsidRPr="003A56BD" w:rsidRDefault="00EE1588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Yu Gothic UI Semilight" w:eastAsia="Yu Gothic UI Semilight" w:hAnsi="Yu Gothic UI Semilight" w:cs="Segoe U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A56BD">
                                <w:rPr>
                                  <w:rFonts w:ascii="Yu Gothic UI Semilight" w:eastAsia="Yu Gothic UI Semilight" w:hAnsi="Yu Gothic UI Semilight" w:cs="Segoe UI"/>
                                  <w:b/>
                                  <w:sz w:val="18"/>
                                  <w:szCs w:val="18"/>
                                </w:rPr>
                                <w:t>Campus Ministro Reis Velloso</w:t>
                              </w:r>
                            </w:p>
                            <w:p w:rsidR="00EE1588" w:rsidRPr="003A56BD" w:rsidRDefault="00EE1588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Yu Gothic UI Semilight" w:eastAsia="Yu Gothic UI Semilight" w:hAnsi="Yu Gothic UI Semilight" w:cs="Segoe U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A56BD">
                                <w:rPr>
                                  <w:rFonts w:ascii="Yu Gothic UI Semilight" w:eastAsia="Yu Gothic UI Semilight" w:hAnsi="Yu Gothic UI Semilight" w:cs="Segoe UI"/>
                                  <w:b/>
                                  <w:sz w:val="18"/>
                                  <w:szCs w:val="18"/>
                                </w:rPr>
                                <w:t>Depart</w:t>
                              </w:r>
                              <w:r w:rsidR="00C37CCD">
                                <w:rPr>
                                  <w:rFonts w:ascii="Yu Gothic UI Semilight" w:eastAsia="Yu Gothic UI Semilight" w:hAnsi="Yu Gothic UI Semilight" w:cs="Segoe UI"/>
                                  <w:b/>
                                  <w:sz w:val="18"/>
                                  <w:szCs w:val="18"/>
                                </w:rPr>
                                <w:t>amento de Ciências Econômicas</w:t>
                              </w:r>
                            </w:p>
                            <w:p w:rsidR="00EE1588" w:rsidRPr="003A56BD" w:rsidRDefault="00EE1588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Yu Gothic UI Semilight" w:eastAsia="Yu Gothic UI Semilight" w:hAnsi="Yu Gothic UI Semilight" w:cs="Segoe U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A56BD">
                                <w:rPr>
                                  <w:rFonts w:ascii="Yu Gothic UI Semilight" w:eastAsia="Yu Gothic UI Semilight" w:hAnsi="Yu Gothic UI Semilight" w:cs="Segoe UI"/>
                                  <w:b/>
                                  <w:sz w:val="18"/>
                                  <w:szCs w:val="18"/>
                                </w:rPr>
                                <w:t>Índices da Cesta Básica do Litoral do Piauí - Luís Correia</w:t>
                              </w:r>
                            </w:p>
                            <w:p w:rsidR="00EE1588" w:rsidRPr="003A56BD" w:rsidRDefault="00EE1588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Yu Gothic UI Semilight" w:eastAsia="Yu Gothic UI Semilight" w:hAnsi="Yu Gothic UI Semilight" w:cs="Segoe U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A56BD">
                                <w:rPr>
                                  <w:rFonts w:ascii="Yu Gothic UI Semilight" w:eastAsia="Yu Gothic UI Semilight" w:hAnsi="Yu Gothic UI Semilight" w:cs="Segoe UI"/>
                                  <w:b/>
                                  <w:sz w:val="18"/>
                                  <w:szCs w:val="18"/>
                                </w:rPr>
                                <w:t>Prof. MSc. Moacyr Ferraz do Lago</w:t>
                              </w:r>
                              <w:r w:rsidRPr="003A56BD">
                                <w:rPr>
                                  <w:rFonts w:ascii="Yu Gothic UI Semilight" w:eastAsia="Yu Gothic UI Semilight" w:hAnsi="Yu Gothic UI Semilight" w:cs="Cambria Math"/>
                                  <w:b/>
                                  <w:sz w:val="18"/>
                                  <w:szCs w:val="18"/>
                                </w:rPr>
                                <w:t>∴</w:t>
                              </w:r>
                              <w:r w:rsidRPr="003A56BD">
                                <w:rPr>
                                  <w:rFonts w:ascii="Yu Gothic UI Semilight" w:eastAsia="Yu Gothic UI Semilight" w:hAnsi="Yu Gothic UI Semilight" w:cs="Segoe UI"/>
                                  <w:b/>
                                  <w:sz w:val="18"/>
                                  <w:szCs w:val="18"/>
                                </w:rPr>
                                <w:t xml:space="preserve"> - respons</w:t>
                              </w:r>
                              <w:r w:rsidRPr="003A56BD">
                                <w:rPr>
                                  <w:rFonts w:ascii="Yu Gothic UI Semilight" w:eastAsia="Yu Gothic UI Semilight" w:hAnsi="Yu Gothic UI Semilight" w:cs="Tw Cen MT"/>
                                  <w:b/>
                                  <w:sz w:val="18"/>
                                  <w:szCs w:val="18"/>
                                </w:rPr>
                                <w:t>á</w:t>
                              </w:r>
                              <w:r w:rsidRPr="003A56BD">
                                <w:rPr>
                                  <w:rFonts w:ascii="Yu Gothic UI Semilight" w:eastAsia="Yu Gothic UI Semilight" w:hAnsi="Yu Gothic UI Semilight" w:cs="Segoe UI"/>
                                  <w:b/>
                                  <w:sz w:val="18"/>
                                  <w:szCs w:val="18"/>
                                </w:rPr>
                                <w:t>vel t</w:t>
                              </w:r>
                              <w:r w:rsidRPr="003A56BD">
                                <w:rPr>
                                  <w:rFonts w:ascii="Yu Gothic UI Semilight" w:eastAsia="Yu Gothic UI Semilight" w:hAnsi="Yu Gothic UI Semilight" w:cs="Tw Cen MT"/>
                                  <w:b/>
                                  <w:sz w:val="18"/>
                                  <w:szCs w:val="18"/>
                                </w:rPr>
                                <w:t>é</w:t>
                              </w:r>
                              <w:r w:rsidRPr="003A56BD">
                                <w:rPr>
                                  <w:rFonts w:ascii="Yu Gothic UI Semilight" w:eastAsia="Yu Gothic UI Semilight" w:hAnsi="Yu Gothic UI Semilight" w:cs="Segoe UI"/>
                                  <w:b/>
                                  <w:sz w:val="18"/>
                                  <w:szCs w:val="18"/>
                                </w:rPr>
                                <w:t>cnico</w:t>
                              </w:r>
                            </w:p>
                            <w:p w:rsidR="00EE1588" w:rsidRPr="001610B9" w:rsidRDefault="00EE1588" w:rsidP="006E4749">
                              <w:pPr>
                                <w:spacing w:after="0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                               </w:t>
                              </w:r>
                            </w:p>
                            <w:p w:rsidR="00EE1588" w:rsidRDefault="00EE15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97F4C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2.8pt;margin-top:-17.7pt;width:362.8pt;height:8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GYggIAABAFAAAOAAAAZHJzL2Uyb0RvYy54bWysVNuO2yAQfa/Uf0C8Z32Rc7EVZ7WXpqq0&#10;vUi7/QACOEbFQIHE3lb77x1wks32IlVV/YAZGA4zc86wvBw6ifbcOqFVjbOLFCOuqGZCbWv8+WE9&#10;WWDkPFGMSK14jR+5w5er16+Wval4rlstGbcIQJSrelPj1ntTJYmjLe+Iu9CGK9hstO2IB9NuE2ZJ&#10;D+idTPI0nSW9tsxYTblzsHo7buJVxG8aTv3HpnHcI1ljiM3H0cZxE8ZktSTV1hLTCnoIg/xDFB0R&#10;Ci49Qd0ST9DOil+gOkGtdrrxF1R3iW4aQXnMAbLJ0p+yuW+J4TEXKI4zpzK5/wdLP+w/WSRYjecY&#10;KdIBRQ988OhaDygL1emNq8Dp3oCbH2AZWI6ZOnOn6ReHlL5pidryK2t133LCILp4Mjk7OuK4ALLp&#10;32sG15Cd1xFoaGwXSgfFQIAOLD2emAmhUFgsZul8ls8worCXpYusSKchuoRUx+PGOv+W6w6FSY0t&#10;UB/hyf7O+dH16BJuc1oKthZSRsNuNzfSoj0Bmazjd0B/4SZVcFY6HBsRxxWIEu4IeyHeSPv3MsuL&#10;9DovJ+vZYj4p1sV0Us7TxSTNyutylhZlcbt+CgFmRdUKxri6E4ofJZgVf0fxoRlG8UQRor7G5TSf&#10;jhz9Mck0fr9LshMeOlKKrsaLkxOpArNvFIO0SeWJkOM8eRl+JARqcPzHqkQdBOpHEfhhMwBKEMdG&#10;s0dQhNXAF9AOzwhMWm2/YdRDS9bYfd0RyzGS7xSoqsyKIvRwNIrpPAfDnu9szneIogBVY4/ROL3x&#10;Y9/vjBXbFm4adaz0FSixEVEjz1FBCsGAtovJHJ6I0NfndvR6fshWPwAAAP//AwBQSwMEFAAGAAgA&#10;AAAhAKpc4ojfAAAACwEAAA8AAABkcnMvZG93bnJldi54bWxMj8tOwzAQRfdI/IM1SGxQ67TNow1x&#10;KkACsW3pB0ziaRIR21HsNunfM6xgeXWP7pwp9rPpxZVG3zmrYLWMQJCtne5so+D09b7YgvABrcbe&#10;WVJwIw/78v6uwFy7yR7oegyN4BHrc1TQhjDkUvq6JYN+6Qay3J3daDBwHBupR5x43PRyHUWpNNhZ&#10;vtDiQG8t1d/Hi1Fw/pyekt1UfYRTdojTV+yyyt2UenyYX55BBJrDHwy/+qwOJTtV7mK1Fz3nOEkZ&#10;VbDYJDEIJrbZag2i4moT70CWhfz/Q/kDAAD//wMAUEsBAi0AFAAGAAgAAAAhALaDOJL+AAAA4QEA&#10;ABMAAAAAAAAAAAAAAAAAAAAAAFtDb250ZW50X1R5cGVzXS54bWxQSwECLQAUAAYACAAAACEAOP0h&#10;/9YAAACUAQAACwAAAAAAAAAAAAAAAAAvAQAAX3JlbHMvLnJlbHNQSwECLQAUAAYACAAAACEA66gB&#10;mIICAAAQBQAADgAAAAAAAAAAAAAAAAAuAgAAZHJzL2Uyb0RvYy54bWxQSwECLQAUAAYACAAAACEA&#10;qlziiN8AAAALAQAADwAAAAAAAAAAAAAAAADcBAAAZHJzL2Rvd25yZXYueG1sUEsFBgAAAAAEAAQA&#10;8wAAAOgFAAAAAA==&#10;" stroked="f">
                  <v:textbox>
                    <w:txbxContent>
                      <w:p w:rsidR="00EE1588" w:rsidRPr="003A56BD" w:rsidRDefault="00EE1588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Yu Gothic UI Semilight" w:eastAsia="Yu Gothic UI Semilight" w:hAnsi="Yu Gothic UI Semilight" w:cs="Segoe UI"/>
                            <w:b/>
                            <w:sz w:val="18"/>
                            <w:szCs w:val="18"/>
                          </w:rPr>
                        </w:pPr>
                        <w:r w:rsidRPr="003A56BD">
                          <w:rPr>
                            <w:rFonts w:ascii="Yu Gothic UI Semilight" w:eastAsia="Yu Gothic UI Semilight" w:hAnsi="Yu Gothic UI Semilight" w:cs="Segoe UI"/>
                            <w:b/>
                            <w:sz w:val="18"/>
                            <w:szCs w:val="18"/>
                          </w:rPr>
                          <w:t>UNIVERSIDADE FEDERAL DO DELTA DO PARNAÍBA</w:t>
                        </w:r>
                      </w:p>
                      <w:p w:rsidR="00EE1588" w:rsidRPr="003A56BD" w:rsidRDefault="00EE1588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Yu Gothic UI Semilight" w:eastAsia="Yu Gothic UI Semilight" w:hAnsi="Yu Gothic UI Semilight" w:cs="Segoe UI"/>
                            <w:b/>
                            <w:sz w:val="18"/>
                            <w:szCs w:val="18"/>
                          </w:rPr>
                        </w:pPr>
                        <w:r w:rsidRPr="003A56BD">
                          <w:rPr>
                            <w:rFonts w:ascii="Yu Gothic UI Semilight" w:eastAsia="Yu Gothic UI Semilight" w:hAnsi="Yu Gothic UI Semilight" w:cs="Segoe UI"/>
                            <w:b/>
                            <w:sz w:val="18"/>
                            <w:szCs w:val="18"/>
                          </w:rPr>
                          <w:t>Campus Ministro Reis Velloso</w:t>
                        </w:r>
                      </w:p>
                      <w:p w:rsidR="00EE1588" w:rsidRPr="003A56BD" w:rsidRDefault="00EE1588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Yu Gothic UI Semilight" w:eastAsia="Yu Gothic UI Semilight" w:hAnsi="Yu Gothic UI Semilight" w:cs="Segoe UI"/>
                            <w:b/>
                            <w:sz w:val="18"/>
                            <w:szCs w:val="18"/>
                          </w:rPr>
                        </w:pPr>
                        <w:r w:rsidRPr="003A56BD">
                          <w:rPr>
                            <w:rFonts w:ascii="Yu Gothic UI Semilight" w:eastAsia="Yu Gothic UI Semilight" w:hAnsi="Yu Gothic UI Semilight" w:cs="Segoe UI"/>
                            <w:b/>
                            <w:sz w:val="18"/>
                            <w:szCs w:val="18"/>
                          </w:rPr>
                          <w:t>Depart</w:t>
                        </w:r>
                        <w:r w:rsidR="00C37CCD">
                          <w:rPr>
                            <w:rFonts w:ascii="Yu Gothic UI Semilight" w:eastAsia="Yu Gothic UI Semilight" w:hAnsi="Yu Gothic UI Semilight" w:cs="Segoe UI"/>
                            <w:b/>
                            <w:sz w:val="18"/>
                            <w:szCs w:val="18"/>
                          </w:rPr>
                          <w:t>amento de Ciências Econômicas</w:t>
                        </w:r>
                      </w:p>
                      <w:p w:rsidR="00EE1588" w:rsidRPr="003A56BD" w:rsidRDefault="00EE1588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Yu Gothic UI Semilight" w:eastAsia="Yu Gothic UI Semilight" w:hAnsi="Yu Gothic UI Semilight" w:cs="Segoe UI"/>
                            <w:b/>
                            <w:sz w:val="18"/>
                            <w:szCs w:val="18"/>
                          </w:rPr>
                        </w:pPr>
                        <w:r w:rsidRPr="003A56BD">
                          <w:rPr>
                            <w:rFonts w:ascii="Yu Gothic UI Semilight" w:eastAsia="Yu Gothic UI Semilight" w:hAnsi="Yu Gothic UI Semilight" w:cs="Segoe UI"/>
                            <w:b/>
                            <w:sz w:val="18"/>
                            <w:szCs w:val="18"/>
                          </w:rPr>
                          <w:t>Índices da Cesta Básica do Litoral do Piauí - Luís Correia</w:t>
                        </w:r>
                      </w:p>
                      <w:p w:rsidR="00EE1588" w:rsidRPr="003A56BD" w:rsidRDefault="00EE1588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Yu Gothic UI Semilight" w:eastAsia="Yu Gothic UI Semilight" w:hAnsi="Yu Gothic UI Semilight" w:cs="Segoe UI"/>
                            <w:b/>
                            <w:sz w:val="18"/>
                            <w:szCs w:val="18"/>
                          </w:rPr>
                        </w:pPr>
                        <w:r w:rsidRPr="003A56BD">
                          <w:rPr>
                            <w:rFonts w:ascii="Yu Gothic UI Semilight" w:eastAsia="Yu Gothic UI Semilight" w:hAnsi="Yu Gothic UI Semilight" w:cs="Segoe UI"/>
                            <w:b/>
                            <w:sz w:val="18"/>
                            <w:szCs w:val="18"/>
                          </w:rPr>
                          <w:t>Prof. MSc. Moacyr Ferraz do Lago</w:t>
                        </w:r>
                        <w:r w:rsidRPr="003A56BD">
                          <w:rPr>
                            <w:rFonts w:ascii="Yu Gothic UI Semilight" w:eastAsia="Yu Gothic UI Semilight" w:hAnsi="Yu Gothic UI Semilight" w:cs="Cambria Math"/>
                            <w:b/>
                            <w:sz w:val="18"/>
                            <w:szCs w:val="18"/>
                          </w:rPr>
                          <w:t>∴</w:t>
                        </w:r>
                        <w:r w:rsidRPr="003A56BD">
                          <w:rPr>
                            <w:rFonts w:ascii="Yu Gothic UI Semilight" w:eastAsia="Yu Gothic UI Semilight" w:hAnsi="Yu Gothic UI Semilight" w:cs="Segoe UI"/>
                            <w:b/>
                            <w:sz w:val="18"/>
                            <w:szCs w:val="18"/>
                          </w:rPr>
                          <w:t xml:space="preserve"> - respons</w:t>
                        </w:r>
                        <w:r w:rsidRPr="003A56BD">
                          <w:rPr>
                            <w:rFonts w:ascii="Yu Gothic UI Semilight" w:eastAsia="Yu Gothic UI Semilight" w:hAnsi="Yu Gothic UI Semilight" w:cs="Tw Cen MT"/>
                            <w:b/>
                            <w:sz w:val="18"/>
                            <w:szCs w:val="18"/>
                          </w:rPr>
                          <w:t>á</w:t>
                        </w:r>
                        <w:r w:rsidRPr="003A56BD">
                          <w:rPr>
                            <w:rFonts w:ascii="Yu Gothic UI Semilight" w:eastAsia="Yu Gothic UI Semilight" w:hAnsi="Yu Gothic UI Semilight" w:cs="Segoe UI"/>
                            <w:b/>
                            <w:sz w:val="18"/>
                            <w:szCs w:val="18"/>
                          </w:rPr>
                          <w:t>vel t</w:t>
                        </w:r>
                        <w:r w:rsidRPr="003A56BD">
                          <w:rPr>
                            <w:rFonts w:ascii="Yu Gothic UI Semilight" w:eastAsia="Yu Gothic UI Semilight" w:hAnsi="Yu Gothic UI Semilight" w:cs="Tw Cen MT"/>
                            <w:b/>
                            <w:sz w:val="18"/>
                            <w:szCs w:val="18"/>
                          </w:rPr>
                          <w:t>é</w:t>
                        </w:r>
                        <w:r w:rsidRPr="003A56BD">
                          <w:rPr>
                            <w:rFonts w:ascii="Yu Gothic UI Semilight" w:eastAsia="Yu Gothic UI Semilight" w:hAnsi="Yu Gothic UI Semilight" w:cs="Segoe UI"/>
                            <w:b/>
                            <w:sz w:val="18"/>
                            <w:szCs w:val="18"/>
                          </w:rPr>
                          <w:t>cnico</w:t>
                        </w:r>
                      </w:p>
                      <w:p w:rsidR="00EE1588" w:rsidRPr="001610B9" w:rsidRDefault="00EE1588" w:rsidP="006E4749">
                        <w:pPr>
                          <w:spacing w:after="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 xml:space="preserve">                                </w:t>
                        </w:r>
                      </w:p>
                      <w:p w:rsidR="00EE1588" w:rsidRDefault="00EE1588"/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59F5C41" wp14:editId="0DA306C1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1588" w:rsidRDefault="00EE1588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7.5pt;height:64.5pt" o:ole="" fillcolor="window">
                                    <v:imagedata r:id="rId1" o:title=""/>
                                  </v:shape>
                                  <o:OLEObject Type="Embed" ProgID="PBrush" ShapeID="_x0000_i1025" DrawAspect="Content" ObjectID="_1668264922" r:id="rId2"/>
                                </w:object>
                              </w:r>
                              <w:r w:rsidRPr="001610B9">
                                <w:rPr>
                                  <w:noProof/>
                                </w:rPr>
                                <w:drawing>
                                  <wp:inline distT="0" distB="0" distL="0" distR="0" wp14:anchorId="0F858E87" wp14:editId="11B98F9C">
                                    <wp:extent cx="1149792" cy="763299"/>
                                    <wp:effectExtent l="19050" t="0" r="0" b="0"/>
                                    <wp:docPr id="13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59F5C41"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C/hQIAABY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WIVn&#10;GCnSAkUPvPdopXs0CdXpjCvB6d6Am+9hG1iOmTpzp+kXh5S+aYja8mtrdddwwiC6LJxMzo4OOC6A&#10;bLr3msE1ZOd1BOpr24bSQTEQoANLjydmQigUNovJfDoBCwVTlqbZpJjGK0h5PG2s82+5blGYVNgC&#10;8xGd7O+cD9GQ8ugSLnNaCrYWUsaF3W5upEV7AipZx++A/sJNquCsdDg2IA47ECTcEWwh3Mj6U5GN&#10;83Q1Lkbr2fxylK/z6ai4TOejNCtWxSzNi/x2/T0EmOVlIxjj6k4oflRglv8dw4deGLQTNYg6KNZ0&#10;PB0o+mOSafx+l2QrPDSkFG2F5ycnUgZi3ygGaZPSEyGHefIy/FhlqMHxH6sSZRCYHzTg+00f9RY1&#10;EiSy0ewRdGE10AYUw2MCk0bbbxh10JgVdl93xHKM5DsF2iqyPA+dHBf59HIMC3tu2ZxbiKIAVWGP&#10;0TC98UP374wV2wZuGtSs9DXosRZRKs9RHVQMzRdzOjwUobvP19Hr+Tlb/gAAAP//AwBQSwMEFAAG&#10;AAgAAAAhANAQ1vTgAAAADAEAAA8AAABkcnMvZG93bnJldi54bWxMj8FOg0AQhu8mvsNmTLyYdqFB&#10;oMjSqInGa2sfYGCnQGRnCbst9O3dnvQ2k/nyz/eXu8UM4kKT6y0riNcRCOLG6p5bBcfvj1UOwnlk&#10;jYNlUnAlB7vq/q7EQtuZ93Q5+FaEEHYFKui8HwspXdORQbe2I3G4nexk0Id1aqWecA7hZpCbKEql&#10;wZ7Dhw5Heu+o+TmcjYLT1/z0vJ3rT3/M9kn6hn1W26tSjw/L6wsIT4v/g+GmH9ShCk61PbN2YlCQ&#10;b/MkoApWcZqBuBFRkm5A1GFK4ghkVcr/JapfAAAA//8DAFBLAQItABQABgAIAAAAIQC2gziS/gAA&#10;AOEBAAATAAAAAAAAAAAAAAAAAAAAAABbQ29udGVudF9UeXBlc10ueG1sUEsBAi0AFAAGAAgAAAAh&#10;ADj9If/WAAAAlAEAAAsAAAAAAAAAAAAAAAAALwEAAF9yZWxzLy5yZWxzUEsBAi0AFAAGAAgAAAAh&#10;ALnE4L+FAgAAFgUAAA4AAAAAAAAAAAAAAAAALgIAAGRycy9lMm9Eb2MueG1sUEsBAi0AFAAGAAgA&#10;AAAhANAQ1vTgAAAADAEAAA8AAAAAAAAAAAAAAAAA3wQAAGRycy9kb3ducmV2LnhtbFBLBQYAAAAA&#10;BAAEAPMAAADsBQAAAAA=&#10;" stroked="f">
                  <v:textbox>
                    <w:txbxContent>
                      <w:p w:rsidR="00DB02B0" w:rsidRDefault="00DB02B0">
                        <w:r>
                          <w:object w:dxaOrig="13348" w:dyaOrig="16187">
                            <v:shape id="_x0000_i1025" type="#_x0000_t75" style="width:54.75pt;height:65.25pt" o:ole="" fillcolor="window">
                              <v:imagedata r:id="rId4" o:title=""/>
                            </v:shape>
                            <o:OLEObject Type="Embed" ProgID="PBrush" ShapeID="_x0000_i1025" DrawAspect="Content" ObjectID="_1667212747" r:id="rId5"/>
                          </w:object>
                        </w:r>
                        <w:r w:rsidRPr="001610B9">
                          <w:rPr>
                            <w:noProof/>
                          </w:rPr>
                          <w:drawing>
                            <wp:inline distT="0" distB="0" distL="0" distR="0" wp14:anchorId="0F858E87" wp14:editId="11B98F9C">
                              <wp:extent cx="1149792" cy="763299"/>
                              <wp:effectExtent l="19050" t="0" r="0" b="0"/>
                              <wp:docPr id="13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59776" behindDoc="0" locked="0" layoutInCell="1" allowOverlap="1" wp14:anchorId="4246C51F" wp14:editId="30051A24">
              <wp:simplePos x="0" y="0"/>
              <wp:positionH relativeFrom="column">
                <wp:posOffset>-676893</wp:posOffset>
              </wp:positionH>
              <wp:positionV relativeFrom="paragraph">
                <wp:posOffset>-631610</wp:posOffset>
              </wp:positionV>
              <wp:extent cx="1888176" cy="1888176"/>
              <wp:effectExtent l="0" t="0" r="0" b="0"/>
              <wp:wrapNone/>
              <wp:docPr id="12" name="Imagem 12" descr="Resultado de imagem para universidade federal do delta do parnaíba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EE1588" w:rsidRDefault="00EE1588">
        <w:pPr>
          <w:pStyle w:val="Cabealho"/>
          <w:jc w:val="right"/>
        </w:pPr>
      </w:p>
      <w:p w:rsidR="00EE1588" w:rsidRDefault="00EE1588">
        <w:pPr>
          <w:pStyle w:val="Cabealho"/>
          <w:jc w:val="right"/>
        </w:pPr>
        <w:r>
          <w:t xml:space="preserve">  </w:t>
        </w:r>
      </w:p>
      <w:p w:rsidR="00EE1588" w:rsidRDefault="00EE1588">
        <w:pPr>
          <w:pStyle w:val="Cabealho"/>
          <w:jc w:val="right"/>
        </w:pPr>
        <w:r>
          <w:t xml:space="preserve"> </w:t>
        </w:r>
      </w:p>
      <w:p w:rsidR="00EE1588" w:rsidRDefault="00D04943" w:rsidP="001610B9">
        <w:pPr>
          <w:pStyle w:val="Cabealho"/>
          <w:jc w:val="right"/>
        </w:pPr>
      </w:p>
    </w:sdtContent>
  </w:sdt>
  <w:p w:rsidR="00EE1588" w:rsidRDefault="00EE1588" w:rsidP="001610B9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EC8B5C9" wp14:editId="04F2D0A4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2C372E5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:rsidR="00EE1588" w:rsidRPr="0052403C" w:rsidRDefault="00EE1588" w:rsidP="001610B9">
    <w:pPr>
      <w:pStyle w:val="Cabealho"/>
      <w:jc w:val="right"/>
      <w:rPr>
        <w:rFonts w:ascii="Yu Gothic UI Light" w:eastAsia="Yu Gothic UI Light" w:hAnsi="Yu Gothic UI Light" w:cs="Segoe UI"/>
        <w:sz w:val="18"/>
        <w:szCs w:val="18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CCD" w:rsidRDefault="00C37CC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28"/>
    <w:rsid w:val="000024A0"/>
    <w:rsid w:val="00005003"/>
    <w:rsid w:val="0000680B"/>
    <w:rsid w:val="00007E24"/>
    <w:rsid w:val="00015318"/>
    <w:rsid w:val="00015413"/>
    <w:rsid w:val="00017A17"/>
    <w:rsid w:val="00017D80"/>
    <w:rsid w:val="000203BE"/>
    <w:rsid w:val="00022B73"/>
    <w:rsid w:val="00034CAF"/>
    <w:rsid w:val="00037F0E"/>
    <w:rsid w:val="0004185D"/>
    <w:rsid w:val="00043550"/>
    <w:rsid w:val="00045E48"/>
    <w:rsid w:val="00046B7A"/>
    <w:rsid w:val="00051A9A"/>
    <w:rsid w:val="00051BF7"/>
    <w:rsid w:val="0005212B"/>
    <w:rsid w:val="00052F31"/>
    <w:rsid w:val="000553D7"/>
    <w:rsid w:val="00055BF9"/>
    <w:rsid w:val="00060C71"/>
    <w:rsid w:val="00061635"/>
    <w:rsid w:val="00062BC5"/>
    <w:rsid w:val="00063285"/>
    <w:rsid w:val="00064AC4"/>
    <w:rsid w:val="000741FE"/>
    <w:rsid w:val="00077292"/>
    <w:rsid w:val="00077BBC"/>
    <w:rsid w:val="000842A2"/>
    <w:rsid w:val="000917E5"/>
    <w:rsid w:val="000939C8"/>
    <w:rsid w:val="00095D96"/>
    <w:rsid w:val="000A6E77"/>
    <w:rsid w:val="000A7E25"/>
    <w:rsid w:val="000B025E"/>
    <w:rsid w:val="000B1A2B"/>
    <w:rsid w:val="000B2870"/>
    <w:rsid w:val="000B2DA9"/>
    <w:rsid w:val="000B4858"/>
    <w:rsid w:val="000B4E0B"/>
    <w:rsid w:val="000C1238"/>
    <w:rsid w:val="000C7E8D"/>
    <w:rsid w:val="000D178A"/>
    <w:rsid w:val="000D4256"/>
    <w:rsid w:val="000D60A8"/>
    <w:rsid w:val="000D65C8"/>
    <w:rsid w:val="000E0B5A"/>
    <w:rsid w:val="000E66F6"/>
    <w:rsid w:val="000E6E06"/>
    <w:rsid w:val="000F05FF"/>
    <w:rsid w:val="000F6476"/>
    <w:rsid w:val="000F6981"/>
    <w:rsid w:val="000F6D6B"/>
    <w:rsid w:val="001005F4"/>
    <w:rsid w:val="00102D22"/>
    <w:rsid w:val="00103870"/>
    <w:rsid w:val="0011349D"/>
    <w:rsid w:val="0012071E"/>
    <w:rsid w:val="00130A4E"/>
    <w:rsid w:val="00135089"/>
    <w:rsid w:val="001351F9"/>
    <w:rsid w:val="00135A98"/>
    <w:rsid w:val="00135ABD"/>
    <w:rsid w:val="00140DB2"/>
    <w:rsid w:val="00141B6A"/>
    <w:rsid w:val="001420FA"/>
    <w:rsid w:val="0014235A"/>
    <w:rsid w:val="00142954"/>
    <w:rsid w:val="00151148"/>
    <w:rsid w:val="00152C4F"/>
    <w:rsid w:val="00155B46"/>
    <w:rsid w:val="00157844"/>
    <w:rsid w:val="001602AE"/>
    <w:rsid w:val="001610B9"/>
    <w:rsid w:val="001677D9"/>
    <w:rsid w:val="00167D1A"/>
    <w:rsid w:val="00171A10"/>
    <w:rsid w:val="001773BD"/>
    <w:rsid w:val="00177640"/>
    <w:rsid w:val="001804E7"/>
    <w:rsid w:val="00181C84"/>
    <w:rsid w:val="0018498C"/>
    <w:rsid w:val="001878B1"/>
    <w:rsid w:val="00190E73"/>
    <w:rsid w:val="00191638"/>
    <w:rsid w:val="001940B9"/>
    <w:rsid w:val="001978D0"/>
    <w:rsid w:val="001A0430"/>
    <w:rsid w:val="001A0F02"/>
    <w:rsid w:val="001A3166"/>
    <w:rsid w:val="001A5B02"/>
    <w:rsid w:val="001A6039"/>
    <w:rsid w:val="001B20A4"/>
    <w:rsid w:val="001B6681"/>
    <w:rsid w:val="001B7289"/>
    <w:rsid w:val="001C04BB"/>
    <w:rsid w:val="001C12A1"/>
    <w:rsid w:val="001C19F8"/>
    <w:rsid w:val="001C3A01"/>
    <w:rsid w:val="001C4FA5"/>
    <w:rsid w:val="001C503F"/>
    <w:rsid w:val="001C5A79"/>
    <w:rsid w:val="001C62CC"/>
    <w:rsid w:val="001D0524"/>
    <w:rsid w:val="001D1834"/>
    <w:rsid w:val="001D1FFC"/>
    <w:rsid w:val="001D7B6D"/>
    <w:rsid w:val="001E1940"/>
    <w:rsid w:val="001E7434"/>
    <w:rsid w:val="001F5812"/>
    <w:rsid w:val="001F6F65"/>
    <w:rsid w:val="001F790D"/>
    <w:rsid w:val="002036AB"/>
    <w:rsid w:val="002070B7"/>
    <w:rsid w:val="00207192"/>
    <w:rsid w:val="00210CDA"/>
    <w:rsid w:val="00215FB1"/>
    <w:rsid w:val="00225710"/>
    <w:rsid w:val="00225D3F"/>
    <w:rsid w:val="00226A20"/>
    <w:rsid w:val="00234E4A"/>
    <w:rsid w:val="00236DA9"/>
    <w:rsid w:val="00254FE2"/>
    <w:rsid w:val="00261624"/>
    <w:rsid w:val="0026356A"/>
    <w:rsid w:val="00274222"/>
    <w:rsid w:val="00274A9F"/>
    <w:rsid w:val="00274C86"/>
    <w:rsid w:val="00275C28"/>
    <w:rsid w:val="00281544"/>
    <w:rsid w:val="0028660D"/>
    <w:rsid w:val="00286CB5"/>
    <w:rsid w:val="00290C4C"/>
    <w:rsid w:val="00291CA7"/>
    <w:rsid w:val="0029223F"/>
    <w:rsid w:val="00297947"/>
    <w:rsid w:val="002A0D28"/>
    <w:rsid w:val="002A21A3"/>
    <w:rsid w:val="002A7A03"/>
    <w:rsid w:val="002A7B06"/>
    <w:rsid w:val="002A7FF7"/>
    <w:rsid w:val="002B30B3"/>
    <w:rsid w:val="002C0532"/>
    <w:rsid w:val="002C093B"/>
    <w:rsid w:val="002C148E"/>
    <w:rsid w:val="002C15E2"/>
    <w:rsid w:val="002C1EEC"/>
    <w:rsid w:val="002C4D26"/>
    <w:rsid w:val="002C5A60"/>
    <w:rsid w:val="002D3CF2"/>
    <w:rsid w:val="002D5591"/>
    <w:rsid w:val="002E4F52"/>
    <w:rsid w:val="002E531B"/>
    <w:rsid w:val="002F4134"/>
    <w:rsid w:val="002F66FD"/>
    <w:rsid w:val="002F6EDD"/>
    <w:rsid w:val="00300072"/>
    <w:rsid w:val="00304D74"/>
    <w:rsid w:val="0031427A"/>
    <w:rsid w:val="0032079C"/>
    <w:rsid w:val="00320D2E"/>
    <w:rsid w:val="00320EC7"/>
    <w:rsid w:val="003234EC"/>
    <w:rsid w:val="00324CF2"/>
    <w:rsid w:val="003302C9"/>
    <w:rsid w:val="003406DB"/>
    <w:rsid w:val="003444A0"/>
    <w:rsid w:val="0035330E"/>
    <w:rsid w:val="00357EF5"/>
    <w:rsid w:val="003611B1"/>
    <w:rsid w:val="00372C39"/>
    <w:rsid w:val="00380E22"/>
    <w:rsid w:val="003834F4"/>
    <w:rsid w:val="00383504"/>
    <w:rsid w:val="00392B51"/>
    <w:rsid w:val="00393400"/>
    <w:rsid w:val="0039417E"/>
    <w:rsid w:val="0039444C"/>
    <w:rsid w:val="00394CD1"/>
    <w:rsid w:val="00395E18"/>
    <w:rsid w:val="003A0992"/>
    <w:rsid w:val="003A0BD6"/>
    <w:rsid w:val="003A2002"/>
    <w:rsid w:val="003A2739"/>
    <w:rsid w:val="003A4947"/>
    <w:rsid w:val="003A56BD"/>
    <w:rsid w:val="003B1F8C"/>
    <w:rsid w:val="003B7CE4"/>
    <w:rsid w:val="003C1ED4"/>
    <w:rsid w:val="003C276F"/>
    <w:rsid w:val="003C6A14"/>
    <w:rsid w:val="003D0511"/>
    <w:rsid w:val="003D622A"/>
    <w:rsid w:val="003E0BDC"/>
    <w:rsid w:val="003E2C50"/>
    <w:rsid w:val="003E3C43"/>
    <w:rsid w:val="003E4B63"/>
    <w:rsid w:val="003E5D1C"/>
    <w:rsid w:val="003F09C3"/>
    <w:rsid w:val="003F172F"/>
    <w:rsid w:val="003F277F"/>
    <w:rsid w:val="003F4684"/>
    <w:rsid w:val="003F73BA"/>
    <w:rsid w:val="003F7FE4"/>
    <w:rsid w:val="00400C9D"/>
    <w:rsid w:val="00403673"/>
    <w:rsid w:val="004038A3"/>
    <w:rsid w:val="0040530E"/>
    <w:rsid w:val="00407535"/>
    <w:rsid w:val="00412BE5"/>
    <w:rsid w:val="00413CAE"/>
    <w:rsid w:val="00415219"/>
    <w:rsid w:val="004153F5"/>
    <w:rsid w:val="00416D6C"/>
    <w:rsid w:val="00423611"/>
    <w:rsid w:val="00432B3B"/>
    <w:rsid w:val="004342C0"/>
    <w:rsid w:val="00437A75"/>
    <w:rsid w:val="00442169"/>
    <w:rsid w:val="00444EAF"/>
    <w:rsid w:val="00445E84"/>
    <w:rsid w:val="004522B1"/>
    <w:rsid w:val="0045435F"/>
    <w:rsid w:val="00454881"/>
    <w:rsid w:val="00454D40"/>
    <w:rsid w:val="004607A0"/>
    <w:rsid w:val="004628B1"/>
    <w:rsid w:val="00466922"/>
    <w:rsid w:val="0047314F"/>
    <w:rsid w:val="00473F36"/>
    <w:rsid w:val="00474A07"/>
    <w:rsid w:val="00483022"/>
    <w:rsid w:val="00486372"/>
    <w:rsid w:val="00486E7A"/>
    <w:rsid w:val="004972AF"/>
    <w:rsid w:val="004B18C9"/>
    <w:rsid w:val="004B1D0C"/>
    <w:rsid w:val="004C78FE"/>
    <w:rsid w:val="004C7E9C"/>
    <w:rsid w:val="004D1796"/>
    <w:rsid w:val="004D2BA1"/>
    <w:rsid w:val="004D4FF2"/>
    <w:rsid w:val="004D7467"/>
    <w:rsid w:val="004E39AE"/>
    <w:rsid w:val="004E4BBD"/>
    <w:rsid w:val="004E53AA"/>
    <w:rsid w:val="004E6A3B"/>
    <w:rsid w:val="004F43FD"/>
    <w:rsid w:val="004F5FF8"/>
    <w:rsid w:val="00511F32"/>
    <w:rsid w:val="0052403C"/>
    <w:rsid w:val="00530E35"/>
    <w:rsid w:val="0054194F"/>
    <w:rsid w:val="005430F3"/>
    <w:rsid w:val="00543A04"/>
    <w:rsid w:val="00546987"/>
    <w:rsid w:val="00550F7C"/>
    <w:rsid w:val="00551DF1"/>
    <w:rsid w:val="0055245F"/>
    <w:rsid w:val="0055508F"/>
    <w:rsid w:val="00555B0C"/>
    <w:rsid w:val="00556B4C"/>
    <w:rsid w:val="005574E9"/>
    <w:rsid w:val="00557560"/>
    <w:rsid w:val="0056270A"/>
    <w:rsid w:val="00566B30"/>
    <w:rsid w:val="00567FFB"/>
    <w:rsid w:val="0057059A"/>
    <w:rsid w:val="005754C1"/>
    <w:rsid w:val="00575CB7"/>
    <w:rsid w:val="00583A9F"/>
    <w:rsid w:val="005844DB"/>
    <w:rsid w:val="0058516B"/>
    <w:rsid w:val="00585F94"/>
    <w:rsid w:val="00586E24"/>
    <w:rsid w:val="00590D90"/>
    <w:rsid w:val="00591535"/>
    <w:rsid w:val="00597066"/>
    <w:rsid w:val="005975AA"/>
    <w:rsid w:val="005A01FF"/>
    <w:rsid w:val="005A06CE"/>
    <w:rsid w:val="005A151B"/>
    <w:rsid w:val="005A181D"/>
    <w:rsid w:val="005A6094"/>
    <w:rsid w:val="005A7D0E"/>
    <w:rsid w:val="005B176E"/>
    <w:rsid w:val="005B562A"/>
    <w:rsid w:val="005B6F0E"/>
    <w:rsid w:val="005B720F"/>
    <w:rsid w:val="005B7E1A"/>
    <w:rsid w:val="005C0D00"/>
    <w:rsid w:val="005C1C68"/>
    <w:rsid w:val="005C23C0"/>
    <w:rsid w:val="005C26E1"/>
    <w:rsid w:val="005C3208"/>
    <w:rsid w:val="005C3BF3"/>
    <w:rsid w:val="005C405D"/>
    <w:rsid w:val="005C418A"/>
    <w:rsid w:val="005C470A"/>
    <w:rsid w:val="005C591A"/>
    <w:rsid w:val="005C5A0D"/>
    <w:rsid w:val="005C79BD"/>
    <w:rsid w:val="005D2425"/>
    <w:rsid w:val="005D2478"/>
    <w:rsid w:val="005D4690"/>
    <w:rsid w:val="005D554F"/>
    <w:rsid w:val="005E095F"/>
    <w:rsid w:val="005E0BBA"/>
    <w:rsid w:val="005E2BD8"/>
    <w:rsid w:val="005E636D"/>
    <w:rsid w:val="005F110E"/>
    <w:rsid w:val="005F1E10"/>
    <w:rsid w:val="005F4154"/>
    <w:rsid w:val="00602593"/>
    <w:rsid w:val="006062C7"/>
    <w:rsid w:val="006111E3"/>
    <w:rsid w:val="00611378"/>
    <w:rsid w:val="00611459"/>
    <w:rsid w:val="006116C6"/>
    <w:rsid w:val="006168CC"/>
    <w:rsid w:val="0061791E"/>
    <w:rsid w:val="00626541"/>
    <w:rsid w:val="0062789B"/>
    <w:rsid w:val="00627C80"/>
    <w:rsid w:val="00630ED5"/>
    <w:rsid w:val="0063229A"/>
    <w:rsid w:val="00651853"/>
    <w:rsid w:val="006537DC"/>
    <w:rsid w:val="00654036"/>
    <w:rsid w:val="00655287"/>
    <w:rsid w:val="006553E3"/>
    <w:rsid w:val="006608DD"/>
    <w:rsid w:val="00661BF3"/>
    <w:rsid w:val="006644BA"/>
    <w:rsid w:val="00664952"/>
    <w:rsid w:val="00664CBC"/>
    <w:rsid w:val="006666EF"/>
    <w:rsid w:val="006713AE"/>
    <w:rsid w:val="006751C2"/>
    <w:rsid w:val="006760B8"/>
    <w:rsid w:val="006778F4"/>
    <w:rsid w:val="00681BDF"/>
    <w:rsid w:val="00685BD8"/>
    <w:rsid w:val="00685D11"/>
    <w:rsid w:val="00687DFB"/>
    <w:rsid w:val="00690858"/>
    <w:rsid w:val="00691C8D"/>
    <w:rsid w:val="006930D5"/>
    <w:rsid w:val="006A1AF9"/>
    <w:rsid w:val="006A3D76"/>
    <w:rsid w:val="006A4BC3"/>
    <w:rsid w:val="006B17DC"/>
    <w:rsid w:val="006B5500"/>
    <w:rsid w:val="006B737E"/>
    <w:rsid w:val="006C1531"/>
    <w:rsid w:val="006C5104"/>
    <w:rsid w:val="006C60B4"/>
    <w:rsid w:val="006D24FF"/>
    <w:rsid w:val="006D3894"/>
    <w:rsid w:val="006E4749"/>
    <w:rsid w:val="006E64FE"/>
    <w:rsid w:val="006E654F"/>
    <w:rsid w:val="006F096D"/>
    <w:rsid w:val="006F0F5B"/>
    <w:rsid w:val="006F2399"/>
    <w:rsid w:val="006F2867"/>
    <w:rsid w:val="006F4DA6"/>
    <w:rsid w:val="00703FCD"/>
    <w:rsid w:val="00704578"/>
    <w:rsid w:val="00707998"/>
    <w:rsid w:val="0071043E"/>
    <w:rsid w:val="00713FD2"/>
    <w:rsid w:val="00727B7C"/>
    <w:rsid w:val="00732688"/>
    <w:rsid w:val="007352D8"/>
    <w:rsid w:val="00740F8C"/>
    <w:rsid w:val="007419BA"/>
    <w:rsid w:val="007439C8"/>
    <w:rsid w:val="0074556D"/>
    <w:rsid w:val="00752509"/>
    <w:rsid w:val="00754174"/>
    <w:rsid w:val="007546DA"/>
    <w:rsid w:val="007566C1"/>
    <w:rsid w:val="0075717F"/>
    <w:rsid w:val="00761378"/>
    <w:rsid w:val="00766210"/>
    <w:rsid w:val="00772352"/>
    <w:rsid w:val="00776BEB"/>
    <w:rsid w:val="0077755A"/>
    <w:rsid w:val="007830C5"/>
    <w:rsid w:val="00785545"/>
    <w:rsid w:val="00786A78"/>
    <w:rsid w:val="007919F8"/>
    <w:rsid w:val="0079378B"/>
    <w:rsid w:val="00793DC0"/>
    <w:rsid w:val="007940FB"/>
    <w:rsid w:val="00795C54"/>
    <w:rsid w:val="00796A9C"/>
    <w:rsid w:val="007A05BE"/>
    <w:rsid w:val="007A254F"/>
    <w:rsid w:val="007A272D"/>
    <w:rsid w:val="007A275B"/>
    <w:rsid w:val="007A2AA5"/>
    <w:rsid w:val="007A4141"/>
    <w:rsid w:val="007A4293"/>
    <w:rsid w:val="007A6F99"/>
    <w:rsid w:val="007B450D"/>
    <w:rsid w:val="007B5C8C"/>
    <w:rsid w:val="007C28AB"/>
    <w:rsid w:val="007C7E3F"/>
    <w:rsid w:val="007D112F"/>
    <w:rsid w:val="007D5DDB"/>
    <w:rsid w:val="007E2DDE"/>
    <w:rsid w:val="007E53EA"/>
    <w:rsid w:val="007E567F"/>
    <w:rsid w:val="007F0282"/>
    <w:rsid w:val="007F04EA"/>
    <w:rsid w:val="007F0BBB"/>
    <w:rsid w:val="007F163A"/>
    <w:rsid w:val="007F6312"/>
    <w:rsid w:val="007F698F"/>
    <w:rsid w:val="00801225"/>
    <w:rsid w:val="00802D7F"/>
    <w:rsid w:val="00807B1B"/>
    <w:rsid w:val="008109B5"/>
    <w:rsid w:val="00815D1B"/>
    <w:rsid w:val="00816240"/>
    <w:rsid w:val="00817094"/>
    <w:rsid w:val="0082135D"/>
    <w:rsid w:val="0082202D"/>
    <w:rsid w:val="008222EA"/>
    <w:rsid w:val="00822CE5"/>
    <w:rsid w:val="008273EA"/>
    <w:rsid w:val="00827E66"/>
    <w:rsid w:val="0083122A"/>
    <w:rsid w:val="008313A6"/>
    <w:rsid w:val="00832CED"/>
    <w:rsid w:val="00844686"/>
    <w:rsid w:val="008452F1"/>
    <w:rsid w:val="00845781"/>
    <w:rsid w:val="0085120B"/>
    <w:rsid w:val="00851D7C"/>
    <w:rsid w:val="00855198"/>
    <w:rsid w:val="008555EF"/>
    <w:rsid w:val="00857765"/>
    <w:rsid w:val="00863A3A"/>
    <w:rsid w:val="00865973"/>
    <w:rsid w:val="008673DF"/>
    <w:rsid w:val="00870934"/>
    <w:rsid w:val="00872218"/>
    <w:rsid w:val="00875DE5"/>
    <w:rsid w:val="00891096"/>
    <w:rsid w:val="00891FC9"/>
    <w:rsid w:val="00897E55"/>
    <w:rsid w:val="00897FFD"/>
    <w:rsid w:val="008A3F75"/>
    <w:rsid w:val="008A5763"/>
    <w:rsid w:val="008B1761"/>
    <w:rsid w:val="008B499E"/>
    <w:rsid w:val="008B7713"/>
    <w:rsid w:val="008C2D04"/>
    <w:rsid w:val="008C5CA4"/>
    <w:rsid w:val="008C66A9"/>
    <w:rsid w:val="008C6A53"/>
    <w:rsid w:val="008C6F80"/>
    <w:rsid w:val="008C78C1"/>
    <w:rsid w:val="008D1BDD"/>
    <w:rsid w:val="008D34CD"/>
    <w:rsid w:val="008D34FE"/>
    <w:rsid w:val="008D48DD"/>
    <w:rsid w:val="008E17F6"/>
    <w:rsid w:val="008E40F2"/>
    <w:rsid w:val="008E6506"/>
    <w:rsid w:val="008F054A"/>
    <w:rsid w:val="008F0F7E"/>
    <w:rsid w:val="008F25BA"/>
    <w:rsid w:val="008F279B"/>
    <w:rsid w:val="008F53D3"/>
    <w:rsid w:val="00900A7D"/>
    <w:rsid w:val="009040D0"/>
    <w:rsid w:val="00905779"/>
    <w:rsid w:val="00907E87"/>
    <w:rsid w:val="00910F8A"/>
    <w:rsid w:val="00910FF3"/>
    <w:rsid w:val="009118F3"/>
    <w:rsid w:val="0092498C"/>
    <w:rsid w:val="0092574B"/>
    <w:rsid w:val="00931933"/>
    <w:rsid w:val="00933487"/>
    <w:rsid w:val="00936524"/>
    <w:rsid w:val="00942B33"/>
    <w:rsid w:val="00943CD0"/>
    <w:rsid w:val="00952884"/>
    <w:rsid w:val="00955B6C"/>
    <w:rsid w:val="0095635C"/>
    <w:rsid w:val="009704EF"/>
    <w:rsid w:val="00970B1F"/>
    <w:rsid w:val="009719AE"/>
    <w:rsid w:val="00974C91"/>
    <w:rsid w:val="00974F3D"/>
    <w:rsid w:val="00975A73"/>
    <w:rsid w:val="0097646C"/>
    <w:rsid w:val="00983222"/>
    <w:rsid w:val="00990DC8"/>
    <w:rsid w:val="009934D0"/>
    <w:rsid w:val="00995543"/>
    <w:rsid w:val="00995D66"/>
    <w:rsid w:val="0099614D"/>
    <w:rsid w:val="009A486F"/>
    <w:rsid w:val="009A7CAE"/>
    <w:rsid w:val="009B2ADF"/>
    <w:rsid w:val="009C03CA"/>
    <w:rsid w:val="009C1970"/>
    <w:rsid w:val="009C209C"/>
    <w:rsid w:val="009C293E"/>
    <w:rsid w:val="009D7CEE"/>
    <w:rsid w:val="009F01B2"/>
    <w:rsid w:val="009F082D"/>
    <w:rsid w:val="009F3602"/>
    <w:rsid w:val="009F606A"/>
    <w:rsid w:val="009F74C0"/>
    <w:rsid w:val="009F7AB2"/>
    <w:rsid w:val="00A02216"/>
    <w:rsid w:val="00A073AC"/>
    <w:rsid w:val="00A15BD2"/>
    <w:rsid w:val="00A20E97"/>
    <w:rsid w:val="00A22697"/>
    <w:rsid w:val="00A27C50"/>
    <w:rsid w:val="00A30D03"/>
    <w:rsid w:val="00A33BC1"/>
    <w:rsid w:val="00A3478E"/>
    <w:rsid w:val="00A40492"/>
    <w:rsid w:val="00A41487"/>
    <w:rsid w:val="00A5412F"/>
    <w:rsid w:val="00A56258"/>
    <w:rsid w:val="00A56A2A"/>
    <w:rsid w:val="00A573FD"/>
    <w:rsid w:val="00A607B3"/>
    <w:rsid w:val="00A60EF9"/>
    <w:rsid w:val="00A624FC"/>
    <w:rsid w:val="00A63D59"/>
    <w:rsid w:val="00A63D5E"/>
    <w:rsid w:val="00A677F2"/>
    <w:rsid w:val="00A7196E"/>
    <w:rsid w:val="00A73A49"/>
    <w:rsid w:val="00A75208"/>
    <w:rsid w:val="00A75E4E"/>
    <w:rsid w:val="00A81577"/>
    <w:rsid w:val="00A85271"/>
    <w:rsid w:val="00A86218"/>
    <w:rsid w:val="00A9306D"/>
    <w:rsid w:val="00A93E49"/>
    <w:rsid w:val="00A94D9B"/>
    <w:rsid w:val="00A96926"/>
    <w:rsid w:val="00AA002C"/>
    <w:rsid w:val="00AA4B46"/>
    <w:rsid w:val="00AB203A"/>
    <w:rsid w:val="00AB3940"/>
    <w:rsid w:val="00AB68CB"/>
    <w:rsid w:val="00AB7A6E"/>
    <w:rsid w:val="00AC0F3B"/>
    <w:rsid w:val="00AC25EB"/>
    <w:rsid w:val="00AC2627"/>
    <w:rsid w:val="00AC760C"/>
    <w:rsid w:val="00AD10AA"/>
    <w:rsid w:val="00AD1DC3"/>
    <w:rsid w:val="00AD2BD3"/>
    <w:rsid w:val="00AD3514"/>
    <w:rsid w:val="00AD45D7"/>
    <w:rsid w:val="00AD51F8"/>
    <w:rsid w:val="00AD6C88"/>
    <w:rsid w:val="00AD728B"/>
    <w:rsid w:val="00AE10EE"/>
    <w:rsid w:val="00AE4402"/>
    <w:rsid w:val="00AE56B2"/>
    <w:rsid w:val="00AE56E2"/>
    <w:rsid w:val="00AE662A"/>
    <w:rsid w:val="00AF23B5"/>
    <w:rsid w:val="00AF2879"/>
    <w:rsid w:val="00AF7C1B"/>
    <w:rsid w:val="00B00F71"/>
    <w:rsid w:val="00B03E76"/>
    <w:rsid w:val="00B0491E"/>
    <w:rsid w:val="00B0568E"/>
    <w:rsid w:val="00B1045B"/>
    <w:rsid w:val="00B11138"/>
    <w:rsid w:val="00B2134A"/>
    <w:rsid w:val="00B22420"/>
    <w:rsid w:val="00B22ED0"/>
    <w:rsid w:val="00B265CC"/>
    <w:rsid w:val="00B27A66"/>
    <w:rsid w:val="00B27CAA"/>
    <w:rsid w:val="00B27FB1"/>
    <w:rsid w:val="00B32162"/>
    <w:rsid w:val="00B32802"/>
    <w:rsid w:val="00B34F8B"/>
    <w:rsid w:val="00B417C7"/>
    <w:rsid w:val="00B550CF"/>
    <w:rsid w:val="00B610C8"/>
    <w:rsid w:val="00B657E5"/>
    <w:rsid w:val="00B66AC5"/>
    <w:rsid w:val="00B72131"/>
    <w:rsid w:val="00B74525"/>
    <w:rsid w:val="00B749D8"/>
    <w:rsid w:val="00B74D3F"/>
    <w:rsid w:val="00B759F3"/>
    <w:rsid w:val="00B80EEF"/>
    <w:rsid w:val="00B940E8"/>
    <w:rsid w:val="00B94D90"/>
    <w:rsid w:val="00B94FA2"/>
    <w:rsid w:val="00B97458"/>
    <w:rsid w:val="00BA0041"/>
    <w:rsid w:val="00BA4A46"/>
    <w:rsid w:val="00BA6607"/>
    <w:rsid w:val="00BA7E0D"/>
    <w:rsid w:val="00BB3D14"/>
    <w:rsid w:val="00BC5DF5"/>
    <w:rsid w:val="00BD0597"/>
    <w:rsid w:val="00BD500F"/>
    <w:rsid w:val="00BD5AAF"/>
    <w:rsid w:val="00BD6621"/>
    <w:rsid w:val="00BE2746"/>
    <w:rsid w:val="00BE3A8A"/>
    <w:rsid w:val="00BE4F26"/>
    <w:rsid w:val="00BE5A79"/>
    <w:rsid w:val="00BE65FA"/>
    <w:rsid w:val="00BE78C7"/>
    <w:rsid w:val="00BF0970"/>
    <w:rsid w:val="00BF5A6C"/>
    <w:rsid w:val="00BF5BE4"/>
    <w:rsid w:val="00C0041F"/>
    <w:rsid w:val="00C05CA4"/>
    <w:rsid w:val="00C13B30"/>
    <w:rsid w:val="00C14D81"/>
    <w:rsid w:val="00C21BDA"/>
    <w:rsid w:val="00C251BF"/>
    <w:rsid w:val="00C27238"/>
    <w:rsid w:val="00C331E0"/>
    <w:rsid w:val="00C33B9E"/>
    <w:rsid w:val="00C34CE3"/>
    <w:rsid w:val="00C36CDB"/>
    <w:rsid w:val="00C3716A"/>
    <w:rsid w:val="00C3798C"/>
    <w:rsid w:val="00C37CCD"/>
    <w:rsid w:val="00C42598"/>
    <w:rsid w:val="00C429FD"/>
    <w:rsid w:val="00C44746"/>
    <w:rsid w:val="00C455E4"/>
    <w:rsid w:val="00C45773"/>
    <w:rsid w:val="00C470EA"/>
    <w:rsid w:val="00C50494"/>
    <w:rsid w:val="00C51A22"/>
    <w:rsid w:val="00C53640"/>
    <w:rsid w:val="00C53C7B"/>
    <w:rsid w:val="00C61AEE"/>
    <w:rsid w:val="00C64558"/>
    <w:rsid w:val="00C663B6"/>
    <w:rsid w:val="00C66EE0"/>
    <w:rsid w:val="00C74A28"/>
    <w:rsid w:val="00C80A09"/>
    <w:rsid w:val="00C82199"/>
    <w:rsid w:val="00C84A86"/>
    <w:rsid w:val="00C87C86"/>
    <w:rsid w:val="00CA4933"/>
    <w:rsid w:val="00CA4EA5"/>
    <w:rsid w:val="00CA635C"/>
    <w:rsid w:val="00CA6E77"/>
    <w:rsid w:val="00CB014F"/>
    <w:rsid w:val="00CB19D3"/>
    <w:rsid w:val="00CB6B76"/>
    <w:rsid w:val="00CC1FE1"/>
    <w:rsid w:val="00CC3CD8"/>
    <w:rsid w:val="00CD24DB"/>
    <w:rsid w:val="00CD59CA"/>
    <w:rsid w:val="00CD6853"/>
    <w:rsid w:val="00CD7364"/>
    <w:rsid w:val="00CE3174"/>
    <w:rsid w:val="00CE7230"/>
    <w:rsid w:val="00CF73C9"/>
    <w:rsid w:val="00D010DB"/>
    <w:rsid w:val="00D03CC8"/>
    <w:rsid w:val="00D04751"/>
    <w:rsid w:val="00D04943"/>
    <w:rsid w:val="00D06195"/>
    <w:rsid w:val="00D07AEB"/>
    <w:rsid w:val="00D11E40"/>
    <w:rsid w:val="00D1243F"/>
    <w:rsid w:val="00D1318F"/>
    <w:rsid w:val="00D153D4"/>
    <w:rsid w:val="00D171AE"/>
    <w:rsid w:val="00D2108D"/>
    <w:rsid w:val="00D24A29"/>
    <w:rsid w:val="00D2742B"/>
    <w:rsid w:val="00D30A73"/>
    <w:rsid w:val="00D34133"/>
    <w:rsid w:val="00D442FB"/>
    <w:rsid w:val="00D45FEE"/>
    <w:rsid w:val="00D510A6"/>
    <w:rsid w:val="00D527F6"/>
    <w:rsid w:val="00D52A4E"/>
    <w:rsid w:val="00D52E55"/>
    <w:rsid w:val="00D53C3A"/>
    <w:rsid w:val="00D62AB2"/>
    <w:rsid w:val="00D66088"/>
    <w:rsid w:val="00D73048"/>
    <w:rsid w:val="00D76D44"/>
    <w:rsid w:val="00D77AD3"/>
    <w:rsid w:val="00D80614"/>
    <w:rsid w:val="00D80B93"/>
    <w:rsid w:val="00D825DE"/>
    <w:rsid w:val="00D83345"/>
    <w:rsid w:val="00D92C16"/>
    <w:rsid w:val="00D9410B"/>
    <w:rsid w:val="00D94313"/>
    <w:rsid w:val="00D95368"/>
    <w:rsid w:val="00D97586"/>
    <w:rsid w:val="00DA53D3"/>
    <w:rsid w:val="00DB02B0"/>
    <w:rsid w:val="00DB1326"/>
    <w:rsid w:val="00DB275C"/>
    <w:rsid w:val="00DB321C"/>
    <w:rsid w:val="00DB6E98"/>
    <w:rsid w:val="00DC2316"/>
    <w:rsid w:val="00DC5F1E"/>
    <w:rsid w:val="00DD0EEA"/>
    <w:rsid w:val="00DD25A5"/>
    <w:rsid w:val="00DD55F3"/>
    <w:rsid w:val="00DD58D9"/>
    <w:rsid w:val="00DD757B"/>
    <w:rsid w:val="00DD7C39"/>
    <w:rsid w:val="00DE3A81"/>
    <w:rsid w:val="00DE559E"/>
    <w:rsid w:val="00DF00BE"/>
    <w:rsid w:val="00DF5B2A"/>
    <w:rsid w:val="00DF7FE9"/>
    <w:rsid w:val="00E03718"/>
    <w:rsid w:val="00E03A24"/>
    <w:rsid w:val="00E12AAF"/>
    <w:rsid w:val="00E14297"/>
    <w:rsid w:val="00E14D09"/>
    <w:rsid w:val="00E156AA"/>
    <w:rsid w:val="00E15B8C"/>
    <w:rsid w:val="00E16607"/>
    <w:rsid w:val="00E24D20"/>
    <w:rsid w:val="00E25834"/>
    <w:rsid w:val="00E27857"/>
    <w:rsid w:val="00E30957"/>
    <w:rsid w:val="00E311C7"/>
    <w:rsid w:val="00E32DE9"/>
    <w:rsid w:val="00E33EDD"/>
    <w:rsid w:val="00E34FDC"/>
    <w:rsid w:val="00E36101"/>
    <w:rsid w:val="00E379BD"/>
    <w:rsid w:val="00E444CD"/>
    <w:rsid w:val="00E44850"/>
    <w:rsid w:val="00E459AB"/>
    <w:rsid w:val="00E47609"/>
    <w:rsid w:val="00E47F14"/>
    <w:rsid w:val="00E5772F"/>
    <w:rsid w:val="00E63A12"/>
    <w:rsid w:val="00E655F9"/>
    <w:rsid w:val="00E666D8"/>
    <w:rsid w:val="00E677CE"/>
    <w:rsid w:val="00E70379"/>
    <w:rsid w:val="00E705E1"/>
    <w:rsid w:val="00E70736"/>
    <w:rsid w:val="00E74D21"/>
    <w:rsid w:val="00E765B5"/>
    <w:rsid w:val="00E773DD"/>
    <w:rsid w:val="00E8015A"/>
    <w:rsid w:val="00E83C58"/>
    <w:rsid w:val="00E85716"/>
    <w:rsid w:val="00E91CFC"/>
    <w:rsid w:val="00E96A98"/>
    <w:rsid w:val="00EA38E5"/>
    <w:rsid w:val="00EB05BF"/>
    <w:rsid w:val="00EB262E"/>
    <w:rsid w:val="00EB361B"/>
    <w:rsid w:val="00EB43C7"/>
    <w:rsid w:val="00EB55B2"/>
    <w:rsid w:val="00EC1F47"/>
    <w:rsid w:val="00EC3689"/>
    <w:rsid w:val="00EC77FE"/>
    <w:rsid w:val="00ED010A"/>
    <w:rsid w:val="00ED093B"/>
    <w:rsid w:val="00ED159D"/>
    <w:rsid w:val="00ED19D6"/>
    <w:rsid w:val="00EE1588"/>
    <w:rsid w:val="00EE3747"/>
    <w:rsid w:val="00EE48E1"/>
    <w:rsid w:val="00EE50EA"/>
    <w:rsid w:val="00EF44E0"/>
    <w:rsid w:val="00F04AB9"/>
    <w:rsid w:val="00F04F55"/>
    <w:rsid w:val="00F06950"/>
    <w:rsid w:val="00F07CFB"/>
    <w:rsid w:val="00F10B7E"/>
    <w:rsid w:val="00F122BF"/>
    <w:rsid w:val="00F13C86"/>
    <w:rsid w:val="00F17A7F"/>
    <w:rsid w:val="00F17ACD"/>
    <w:rsid w:val="00F23F25"/>
    <w:rsid w:val="00F2441A"/>
    <w:rsid w:val="00F26C91"/>
    <w:rsid w:val="00F27477"/>
    <w:rsid w:val="00F31ABF"/>
    <w:rsid w:val="00F3274E"/>
    <w:rsid w:val="00F32E1C"/>
    <w:rsid w:val="00F35727"/>
    <w:rsid w:val="00F40730"/>
    <w:rsid w:val="00F407C6"/>
    <w:rsid w:val="00F42582"/>
    <w:rsid w:val="00F45B83"/>
    <w:rsid w:val="00F53A41"/>
    <w:rsid w:val="00F54CE2"/>
    <w:rsid w:val="00F576BC"/>
    <w:rsid w:val="00F5780B"/>
    <w:rsid w:val="00F63EE3"/>
    <w:rsid w:val="00F6695B"/>
    <w:rsid w:val="00F80149"/>
    <w:rsid w:val="00F82019"/>
    <w:rsid w:val="00F84A1D"/>
    <w:rsid w:val="00F864A6"/>
    <w:rsid w:val="00F869C8"/>
    <w:rsid w:val="00F8759B"/>
    <w:rsid w:val="00F875E2"/>
    <w:rsid w:val="00F9141E"/>
    <w:rsid w:val="00F96F0A"/>
    <w:rsid w:val="00FA10C2"/>
    <w:rsid w:val="00FA23C0"/>
    <w:rsid w:val="00FA39A6"/>
    <w:rsid w:val="00FB4E28"/>
    <w:rsid w:val="00FC1CE5"/>
    <w:rsid w:val="00FC2C66"/>
    <w:rsid w:val="00FC45CB"/>
    <w:rsid w:val="00FC45E4"/>
    <w:rsid w:val="00FC7127"/>
    <w:rsid w:val="00FD0FAE"/>
    <w:rsid w:val="00FD12F7"/>
    <w:rsid w:val="00FD1EE1"/>
    <w:rsid w:val="00FD1FD5"/>
    <w:rsid w:val="00FD4C65"/>
    <w:rsid w:val="00FE2A8A"/>
    <w:rsid w:val="00FE478B"/>
    <w:rsid w:val="00FE5F3F"/>
    <w:rsid w:val="00FE6F0C"/>
    <w:rsid w:val="00FE6FB8"/>
    <w:rsid w:val="00FE71C0"/>
    <w:rsid w:val="00FE76D5"/>
    <w:rsid w:val="00FE7E62"/>
    <w:rsid w:val="00FF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5DB361-4011-40F0-988F-D9A37279F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D28"/>
  </w:style>
  <w:style w:type="paragraph" w:styleId="PargrafodaLista">
    <w:name w:val="List Paragraph"/>
    <w:basedOn w:val="Normal"/>
    <w:uiPriority w:val="34"/>
    <w:qFormat/>
    <w:rsid w:val="002A0D2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A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0D2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D28"/>
  </w:style>
  <w:style w:type="table" w:styleId="Tabelacomgrade">
    <w:name w:val="Table Grid"/>
    <w:basedOn w:val="Tabelanormal"/>
    <w:uiPriority w:val="39"/>
    <w:rsid w:val="004F5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7E53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E53E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E53E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53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53EA"/>
    <w:rPr>
      <w:b/>
      <w:bCs/>
      <w:sz w:val="20"/>
      <w:szCs w:val="20"/>
    </w:rPr>
  </w:style>
  <w:style w:type="paragraph" w:customStyle="1" w:styleId="Default">
    <w:name w:val="Default"/>
    <w:rsid w:val="002A21A3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  <w:rsid w:val="00B2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2.jpeg"/><Relationship Id="rId7" Type="http://schemas.openxmlformats.org/officeDocument/2006/relationships/hyperlink" Target="https://doity.com.br/iv-semana-de-engenharia-de-pesca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</a:t>
            </a:r>
          </a:p>
          <a:p>
            <a:pPr>
              <a:defRPr/>
            </a:pPr>
            <a:r>
              <a:rPr lang="pt-BR"/>
              <a:t>Evolução dos custos médio e mínimo da Cesta Básica em Luís Correia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24587388746778047"/>
          <c:y val="2.07540336527701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6016723679209419E-2"/>
          <c:y val="0.23200731830345311"/>
          <c:w val="0.88662015879714007"/>
          <c:h val="0.57074772630165405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514.16999999999996</c:v>
                </c:pt>
                <c:pt idx="1">
                  <c:v>389.14</c:v>
                </c:pt>
                <c:pt idx="2">
                  <c:v>386.27</c:v>
                </c:pt>
                <c:pt idx="3">
                  <c:v>361.76</c:v>
                </c:pt>
                <c:pt idx="4">
                  <c:v>381.05</c:v>
                </c:pt>
                <c:pt idx="5">
                  <c:v>411.04</c:v>
                </c:pt>
                <c:pt idx="6">
                  <c:v>426.61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  <c:pt idx="0">
                  <c:v>372.44</c:v>
                </c:pt>
                <c:pt idx="1">
                  <c:v>331.17</c:v>
                </c:pt>
                <c:pt idx="2">
                  <c:v>351.1</c:v>
                </c:pt>
                <c:pt idx="3">
                  <c:v>308.72000000000003</c:v>
                </c:pt>
                <c:pt idx="4">
                  <c:v>339.03</c:v>
                </c:pt>
                <c:pt idx="5">
                  <c:v>359.93</c:v>
                </c:pt>
                <c:pt idx="6">
                  <c:v>373.19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  <c:pt idx="0">
                  <c:v>42.73</c:v>
                </c:pt>
                <c:pt idx="1">
                  <c:v>57.98</c:v>
                </c:pt>
                <c:pt idx="2">
                  <c:v>35.17</c:v>
                </c:pt>
                <c:pt idx="3">
                  <c:v>53.04</c:v>
                </c:pt>
                <c:pt idx="4">
                  <c:v>42.02</c:v>
                </c:pt>
                <c:pt idx="5">
                  <c:v>51.11</c:v>
                </c:pt>
                <c:pt idx="6">
                  <c:v>53.41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11688"/>
        <c:axId val="498618352"/>
      </c:lineChart>
      <c:catAx>
        <c:axId val="498611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18352"/>
        <c:crosses val="autoZero"/>
        <c:auto val="1"/>
        <c:lblAlgn val="ctr"/>
        <c:lblOffset val="100"/>
        <c:noMultiLvlLbl val="0"/>
      </c:catAx>
      <c:valAx>
        <c:axId val="4986183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11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1522327829965621E-2"/>
          <c:y val="0.87100815886386296"/>
          <c:w val="0.88215480382362121"/>
          <c:h val="0.1289918411361370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6.1</a:t>
            </a:r>
          </a:p>
          <a:p>
            <a:pPr>
              <a:defRPr/>
            </a:pPr>
            <a:r>
              <a:rPr lang="pt-BR"/>
              <a:t>Evolução do preço do arroz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6892986974758996"/>
          <c:y val="2.158425848942794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95924764890276E-2"/>
          <c:y val="0.25689065612038747"/>
          <c:w val="0.87460815047021945"/>
          <c:h val="0.49975300004997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3.42</c:v>
                </c:pt>
                <c:pt idx="1">
                  <c:v>3.64</c:v>
                </c:pt>
                <c:pt idx="2">
                  <c:v>3.43</c:v>
                </c:pt>
                <c:pt idx="3">
                  <c:v>3.67</c:v>
                </c:pt>
                <c:pt idx="4">
                  <c:v>3.69</c:v>
                </c:pt>
                <c:pt idx="5">
                  <c:v>4.5599999999999996</c:v>
                </c:pt>
                <c:pt idx="6">
                  <c:v>4.66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3.19</c:v>
                </c:pt>
                <c:pt idx="1">
                  <c:v>3.49</c:v>
                </c:pt>
                <c:pt idx="2">
                  <c:v>3</c:v>
                </c:pt>
                <c:pt idx="3">
                  <c:v>3.39</c:v>
                </c:pt>
                <c:pt idx="4">
                  <c:v>2.99</c:v>
                </c:pt>
                <c:pt idx="5">
                  <c:v>3.99</c:v>
                </c:pt>
                <c:pt idx="6">
                  <c:v>3.99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28152"/>
        <c:axId val="498632856"/>
      </c:lineChart>
      <c:catAx>
        <c:axId val="498628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32856"/>
        <c:crosses val="autoZero"/>
        <c:auto val="1"/>
        <c:lblAlgn val="ctr"/>
        <c:lblOffset val="100"/>
        <c:noMultiLvlLbl val="0"/>
      </c:catAx>
      <c:valAx>
        <c:axId val="4986328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28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6784928986680403"/>
          <c:y val="0.87894230612477775"/>
          <c:w val="0.68261799985282212"/>
          <c:h val="9.948768612788916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7</a:t>
            </a:r>
          </a:p>
          <a:p>
            <a:pPr>
              <a:defRPr/>
            </a:pPr>
            <a:r>
              <a:rPr lang="pt-BR"/>
              <a:t>Evolução do custo da farinha branca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3206962782995419"/>
          <c:y val="2.145384000912930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95924764890276E-2"/>
          <c:y val="0.25700715981930833"/>
          <c:w val="0.87460815047021945"/>
          <c:h val="0.5145235417001445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12.97</c:v>
                </c:pt>
                <c:pt idx="1">
                  <c:v>15.5</c:v>
                </c:pt>
                <c:pt idx="2">
                  <c:v>13.54</c:v>
                </c:pt>
                <c:pt idx="3">
                  <c:v>15.4</c:v>
                </c:pt>
                <c:pt idx="4">
                  <c:v>15.12</c:v>
                </c:pt>
                <c:pt idx="5">
                  <c:v>19.05</c:v>
                </c:pt>
                <c:pt idx="6">
                  <c:v>18.79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9.27</c:v>
                </c:pt>
                <c:pt idx="1">
                  <c:v>13.77</c:v>
                </c:pt>
                <c:pt idx="2">
                  <c:v>11.67</c:v>
                </c:pt>
                <c:pt idx="3">
                  <c:v>9.57</c:v>
                </c:pt>
                <c:pt idx="4">
                  <c:v>9.27</c:v>
                </c:pt>
                <c:pt idx="5">
                  <c:v>11.67</c:v>
                </c:pt>
                <c:pt idx="6">
                  <c:v>11.67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27760"/>
        <c:axId val="498627368"/>
      </c:lineChart>
      <c:catAx>
        <c:axId val="49862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27368"/>
        <c:crosses val="autoZero"/>
        <c:auto val="1"/>
        <c:lblAlgn val="ctr"/>
        <c:lblOffset val="100"/>
        <c:noMultiLvlLbl val="0"/>
      </c:catAx>
      <c:valAx>
        <c:axId val="4986273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8627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000112197431577E-2"/>
          <c:y val="0.87414858856928612"/>
          <c:w val="0.49782074775206697"/>
          <c:h val="9.948768612788916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7.1</a:t>
            </a:r>
          </a:p>
          <a:p>
            <a:pPr>
              <a:defRPr/>
            </a:pPr>
            <a:r>
              <a:rPr lang="pt-BR"/>
              <a:t>Evolução do preço da farinha branca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3206962782995419"/>
          <c:y val="2.145384000912930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95924764890276E-2"/>
          <c:y val="0.25700715981930833"/>
          <c:w val="0.87460815047021945"/>
          <c:h val="0.5145235417001445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4.32</c:v>
                </c:pt>
                <c:pt idx="1">
                  <c:v>5.17</c:v>
                </c:pt>
                <c:pt idx="2">
                  <c:v>4.51</c:v>
                </c:pt>
                <c:pt idx="3">
                  <c:v>5.13</c:v>
                </c:pt>
                <c:pt idx="4">
                  <c:v>5.04</c:v>
                </c:pt>
                <c:pt idx="5">
                  <c:v>6.35</c:v>
                </c:pt>
                <c:pt idx="6">
                  <c:v>6.26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3.09</c:v>
                </c:pt>
                <c:pt idx="1">
                  <c:v>4.59</c:v>
                </c:pt>
                <c:pt idx="2">
                  <c:v>3.89</c:v>
                </c:pt>
                <c:pt idx="3">
                  <c:v>3.19</c:v>
                </c:pt>
                <c:pt idx="4">
                  <c:v>3.09</c:v>
                </c:pt>
                <c:pt idx="5">
                  <c:v>3.89</c:v>
                </c:pt>
                <c:pt idx="6">
                  <c:v>3.89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28936"/>
        <c:axId val="498629328"/>
      </c:lineChart>
      <c:catAx>
        <c:axId val="498628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29328"/>
        <c:crosses val="autoZero"/>
        <c:auto val="1"/>
        <c:lblAlgn val="ctr"/>
        <c:lblOffset val="100"/>
        <c:noMultiLvlLbl val="0"/>
      </c:catAx>
      <c:valAx>
        <c:axId val="4986293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28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8.361987063906888E-2"/>
          <c:y val="0.87414858856928612"/>
          <c:w val="0.84914068221860761"/>
          <c:h val="9.948768612788916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8</a:t>
            </a:r>
          </a:p>
          <a:p>
            <a:pPr>
              <a:defRPr/>
            </a:pPr>
            <a:r>
              <a:rPr lang="pt-BR"/>
              <a:t>Evolução do custo do tomate</a:t>
            </a:r>
          </a:p>
          <a:p>
            <a:pPr>
              <a:defRPr/>
            </a:pPr>
            <a:r>
              <a:rPr lang="pt-BR"/>
              <a:t>-  abril a outubro de 2020 -</a:t>
            </a:r>
          </a:p>
        </c:rich>
      </c:tx>
      <c:layout>
        <c:manualLayout>
          <c:xMode val="edge"/>
          <c:yMode val="edge"/>
          <c:x val="0.36921526184670761"/>
          <c:y val="2.145927411247507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80.88</c:v>
                </c:pt>
                <c:pt idx="1">
                  <c:v>53.88</c:v>
                </c:pt>
                <c:pt idx="2">
                  <c:v>56.16</c:v>
                </c:pt>
                <c:pt idx="3">
                  <c:v>34.68</c:v>
                </c:pt>
                <c:pt idx="4">
                  <c:v>39.24</c:v>
                </c:pt>
                <c:pt idx="5">
                  <c:v>50.88</c:v>
                </c:pt>
                <c:pt idx="6">
                  <c:v>59.88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  <c:pt idx="0">
                  <c:v>77.88</c:v>
                </c:pt>
                <c:pt idx="1">
                  <c:v>35.880000000000003</c:v>
                </c:pt>
                <c:pt idx="2">
                  <c:v>54.72</c:v>
                </c:pt>
                <c:pt idx="3">
                  <c:v>23.88</c:v>
                </c:pt>
                <c:pt idx="4">
                  <c:v>37.08</c:v>
                </c:pt>
                <c:pt idx="5">
                  <c:v>47.88</c:v>
                </c:pt>
                <c:pt idx="6">
                  <c:v>59.88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14040"/>
        <c:axId val="498617176"/>
      </c:lineChart>
      <c:catAx>
        <c:axId val="498614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17176"/>
        <c:crosses val="autoZero"/>
        <c:auto val="1"/>
        <c:lblAlgn val="ctr"/>
        <c:lblOffset val="100"/>
        <c:noMultiLvlLbl val="0"/>
      </c:catAx>
      <c:valAx>
        <c:axId val="4986171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14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465355655061899"/>
          <c:y val="0.86290952761339612"/>
          <c:w val="0.69210405884837189"/>
          <c:h val="9.948768612788916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8.1</a:t>
            </a:r>
          </a:p>
          <a:p>
            <a:pPr>
              <a:defRPr/>
            </a:pPr>
            <a:r>
              <a:rPr lang="pt-BR"/>
              <a:t>Evolução do preço do tomate</a:t>
            </a:r>
          </a:p>
          <a:p>
            <a:pPr>
              <a:defRPr/>
            </a:pPr>
            <a:r>
              <a:rPr lang="pt-BR"/>
              <a:t>-  abril a outubro de 2020 -</a:t>
            </a:r>
          </a:p>
        </c:rich>
      </c:tx>
      <c:layout>
        <c:manualLayout>
          <c:xMode val="edge"/>
          <c:yMode val="edge"/>
          <c:x val="0.36921526184670761"/>
          <c:y val="2.145927411247507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  <c:pt idx="0">
                  <c:v>6.74</c:v>
                </c:pt>
                <c:pt idx="1">
                  <c:v>4.49</c:v>
                </c:pt>
                <c:pt idx="2">
                  <c:v>4.68</c:v>
                </c:pt>
                <c:pt idx="3">
                  <c:v>2.89</c:v>
                </c:pt>
                <c:pt idx="4">
                  <c:v>3.27</c:v>
                </c:pt>
                <c:pt idx="5">
                  <c:v>4.24</c:v>
                </c:pt>
                <c:pt idx="6">
                  <c:v>4.99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Plan1!$E$2:$E$8</c:f>
              <c:numCache>
                <c:formatCode>General</c:formatCode>
                <c:ptCount val="7"/>
                <c:pt idx="0">
                  <c:v>6.49</c:v>
                </c:pt>
                <c:pt idx="1">
                  <c:v>2.99</c:v>
                </c:pt>
                <c:pt idx="2">
                  <c:v>4.5599999999999996</c:v>
                </c:pt>
                <c:pt idx="3">
                  <c:v>1.99</c:v>
                </c:pt>
                <c:pt idx="4">
                  <c:v>3.09</c:v>
                </c:pt>
                <c:pt idx="5">
                  <c:v>3.99</c:v>
                </c:pt>
                <c:pt idx="6">
                  <c:v>4.99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25800"/>
        <c:axId val="498629720"/>
      </c:lineChart>
      <c:catAx>
        <c:axId val="498625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29720"/>
        <c:crosses val="autoZero"/>
        <c:auto val="1"/>
        <c:lblAlgn val="ctr"/>
        <c:lblOffset val="100"/>
        <c:noMultiLvlLbl val="0"/>
      </c:catAx>
      <c:valAx>
        <c:axId val="4986297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25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5465355655061899"/>
          <c:y val="0.86290952761339612"/>
          <c:w val="0.70705453539481178"/>
          <c:h val="9.948768612788916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9</a:t>
            </a:r>
          </a:p>
          <a:p>
            <a:pPr>
              <a:defRPr/>
            </a:pPr>
            <a:r>
              <a:rPr lang="pt-BR"/>
              <a:t>Evolução do custo do pão francês</a:t>
            </a:r>
          </a:p>
          <a:p>
            <a:pPr>
              <a:defRPr/>
            </a:pPr>
            <a:r>
              <a:rPr lang="pt-BR"/>
              <a:t>-  abril a outubro de 2020 -</a:t>
            </a:r>
          </a:p>
        </c:rich>
      </c:tx>
      <c:layout>
        <c:manualLayout>
          <c:xMode val="edge"/>
          <c:yMode val="edge"/>
          <c:x val="0.31527400162423641"/>
          <c:y val="2.14116414704080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6607745460388882"/>
          <c:w val="0.87464387464387461"/>
          <c:h val="0.5036234756369739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67.47</c:v>
                </c:pt>
                <c:pt idx="1">
                  <c:v>67.47</c:v>
                </c:pt>
                <c:pt idx="2">
                  <c:v>67.47</c:v>
                </c:pt>
                <c:pt idx="3">
                  <c:v>67.47</c:v>
                </c:pt>
                <c:pt idx="4">
                  <c:v>67.47</c:v>
                </c:pt>
                <c:pt idx="5">
                  <c:v>65.7</c:v>
                </c:pt>
                <c:pt idx="6">
                  <c:v>65.7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62.49</c:v>
                </c:pt>
                <c:pt idx="1">
                  <c:v>62.49</c:v>
                </c:pt>
                <c:pt idx="2">
                  <c:v>62.49</c:v>
                </c:pt>
                <c:pt idx="3">
                  <c:v>62.49</c:v>
                </c:pt>
                <c:pt idx="4">
                  <c:v>62.49</c:v>
                </c:pt>
                <c:pt idx="5">
                  <c:v>59.4</c:v>
                </c:pt>
                <c:pt idx="6">
                  <c:v>59.4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31680"/>
        <c:axId val="498626192"/>
      </c:lineChart>
      <c:catAx>
        <c:axId val="498631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26192"/>
        <c:crosses val="autoZero"/>
        <c:auto val="1"/>
        <c:lblAlgn val="ctr"/>
        <c:lblOffset val="100"/>
        <c:noMultiLvlLbl val="0"/>
      </c:catAx>
      <c:valAx>
        <c:axId val="4986261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crossAx val="49863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350205383519886"/>
          <c:y val="0.88761473876538921"/>
          <c:w val="0.6645995904099431"/>
          <c:h val="9.952507345826416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9.1</a:t>
            </a:r>
          </a:p>
          <a:p>
            <a:pPr>
              <a:defRPr/>
            </a:pPr>
            <a:r>
              <a:rPr lang="pt-BR"/>
              <a:t>Evolução do preço do pão francês</a:t>
            </a:r>
          </a:p>
          <a:p>
            <a:pPr>
              <a:defRPr/>
            </a:pPr>
            <a:r>
              <a:rPr lang="pt-BR"/>
              <a:t>-  abril a outubro de 2020 -</a:t>
            </a:r>
          </a:p>
        </c:rich>
      </c:tx>
      <c:layout>
        <c:manualLayout>
          <c:xMode val="edge"/>
          <c:yMode val="edge"/>
          <c:x val="0.35638013017431119"/>
          <c:y val="2.141427763518510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6607745460388882"/>
          <c:w val="0.87464387464387461"/>
          <c:h val="0.5036234756369739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11.25</c:v>
                </c:pt>
                <c:pt idx="1">
                  <c:v>11.25</c:v>
                </c:pt>
                <c:pt idx="2">
                  <c:v>11.25</c:v>
                </c:pt>
                <c:pt idx="3">
                  <c:v>11.25</c:v>
                </c:pt>
                <c:pt idx="4">
                  <c:v>11.25</c:v>
                </c:pt>
                <c:pt idx="5">
                  <c:v>10.95</c:v>
                </c:pt>
                <c:pt idx="6">
                  <c:v>10.95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10.49</c:v>
                </c:pt>
                <c:pt idx="1">
                  <c:v>10.49</c:v>
                </c:pt>
                <c:pt idx="2">
                  <c:v>10.49</c:v>
                </c:pt>
                <c:pt idx="3">
                  <c:v>10.49</c:v>
                </c:pt>
                <c:pt idx="4">
                  <c:v>10.49</c:v>
                </c:pt>
                <c:pt idx="5">
                  <c:v>9.9</c:v>
                </c:pt>
                <c:pt idx="6">
                  <c:v>9.9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26976"/>
        <c:axId val="498623448"/>
      </c:lineChart>
      <c:catAx>
        <c:axId val="498626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23448"/>
        <c:crosses val="autoZero"/>
        <c:auto val="1"/>
        <c:lblAlgn val="ctr"/>
        <c:lblOffset val="100"/>
        <c:noMultiLvlLbl val="0"/>
      </c:catAx>
      <c:valAx>
        <c:axId val="4986234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498626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6350205383519886"/>
          <c:y val="0.88761473876538921"/>
          <c:w val="0.65338882807810461"/>
          <c:h val="9.952507345826416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4165853801856855"/>
          <c:y val="2.28118852658902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4.5999999999999996</c:v>
                </c:pt>
                <c:pt idx="1">
                  <c:v>4.55</c:v>
                </c:pt>
                <c:pt idx="2">
                  <c:v>4.8600000000000003</c:v>
                </c:pt>
                <c:pt idx="3">
                  <c:v>4.3499999999999996</c:v>
                </c:pt>
                <c:pt idx="4">
                  <c:v>4.3</c:v>
                </c:pt>
                <c:pt idx="5">
                  <c:v>4.42</c:v>
                </c:pt>
                <c:pt idx="6">
                  <c:v>4.51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3.89</c:v>
                </c:pt>
                <c:pt idx="1">
                  <c:v>4.1900000000000004</c:v>
                </c:pt>
                <c:pt idx="2">
                  <c:v>3.72</c:v>
                </c:pt>
                <c:pt idx="3">
                  <c:v>3.83</c:v>
                </c:pt>
                <c:pt idx="4">
                  <c:v>3.59</c:v>
                </c:pt>
                <c:pt idx="5">
                  <c:v>4.1399999999999997</c:v>
                </c:pt>
                <c:pt idx="6">
                  <c:v>4.1399999999999997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23840"/>
        <c:axId val="498624232"/>
      </c:lineChart>
      <c:catAx>
        <c:axId val="498623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24232"/>
        <c:crosses val="autoZero"/>
        <c:auto val="1"/>
        <c:lblAlgn val="ctr"/>
        <c:lblOffset val="100"/>
        <c:noMultiLvlLbl val="0"/>
      </c:catAx>
      <c:valAx>
        <c:axId val="4986242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862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567164179104477"/>
          <c:y val="0.87884312120998642"/>
          <c:w val="0.65895522388059691"/>
          <c:h val="9.952507345826416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10.1</a:t>
            </a:r>
          </a:p>
          <a:p>
            <a:pPr>
              <a:defRPr/>
            </a:pPr>
            <a:r>
              <a:rPr lang="pt-BR"/>
              <a:t>Evolução do preço do café em pó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4165853801856855"/>
          <c:y val="2.28118852658902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3.83</c:v>
                </c:pt>
                <c:pt idx="1">
                  <c:v>3.79</c:v>
                </c:pt>
                <c:pt idx="2">
                  <c:v>4.05</c:v>
                </c:pt>
                <c:pt idx="3">
                  <c:v>3.62</c:v>
                </c:pt>
                <c:pt idx="4">
                  <c:v>3.58</c:v>
                </c:pt>
                <c:pt idx="5">
                  <c:v>3.69</c:v>
                </c:pt>
                <c:pt idx="6">
                  <c:v>3.76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3.24</c:v>
                </c:pt>
                <c:pt idx="1">
                  <c:v>3.49</c:v>
                </c:pt>
                <c:pt idx="2">
                  <c:v>3.1</c:v>
                </c:pt>
                <c:pt idx="3">
                  <c:v>3.19</c:v>
                </c:pt>
                <c:pt idx="4">
                  <c:v>2.99</c:v>
                </c:pt>
                <c:pt idx="5">
                  <c:v>3.45</c:v>
                </c:pt>
                <c:pt idx="6">
                  <c:v>3.45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24624"/>
        <c:axId val="498630504"/>
      </c:lineChart>
      <c:catAx>
        <c:axId val="49862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30504"/>
        <c:crosses val="autoZero"/>
        <c:auto val="1"/>
        <c:lblAlgn val="ctr"/>
        <c:lblOffset val="100"/>
        <c:noMultiLvlLbl val="0"/>
      </c:catAx>
      <c:valAx>
        <c:axId val="4986305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24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6567164179104477"/>
          <c:y val="0.87884312120998642"/>
          <c:w val="0.67014925373134326"/>
          <c:h val="9.952507345826416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6693618521565402"/>
          <c:y val="1.928131316689336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24.66</c:v>
                </c:pt>
                <c:pt idx="1">
                  <c:v>24.66</c:v>
                </c:pt>
                <c:pt idx="2">
                  <c:v>24.26</c:v>
                </c:pt>
                <c:pt idx="3">
                  <c:v>17.46</c:v>
                </c:pt>
                <c:pt idx="4">
                  <c:v>21.06</c:v>
                </c:pt>
                <c:pt idx="5">
                  <c:v>22.23</c:v>
                </c:pt>
                <c:pt idx="6">
                  <c:v>21.96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  <c:pt idx="0">
                  <c:v>22.41</c:v>
                </c:pt>
                <c:pt idx="1">
                  <c:v>22.41</c:v>
                </c:pt>
                <c:pt idx="2">
                  <c:v>20.61</c:v>
                </c:pt>
                <c:pt idx="3">
                  <c:v>17.010000000000002</c:v>
                </c:pt>
                <c:pt idx="4">
                  <c:v>19.71</c:v>
                </c:pt>
                <c:pt idx="5">
                  <c:v>24.75</c:v>
                </c:pt>
                <c:pt idx="6">
                  <c:v>19.71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46968"/>
        <c:axId val="498636384"/>
      </c:lineChart>
      <c:catAx>
        <c:axId val="498646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36384"/>
        <c:crosses val="autoZero"/>
        <c:auto val="1"/>
        <c:lblAlgn val="ctr"/>
        <c:lblOffset val="100"/>
        <c:noMultiLvlLbl val="0"/>
      </c:catAx>
      <c:valAx>
        <c:axId val="4986363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46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594907733719985"/>
          <c:y val="0.85919055406271838"/>
          <c:w val="0.66614055705723352"/>
          <c:h val="9.952507345826416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</a:t>
            </a:r>
          </a:p>
          <a:p>
            <a:pPr>
              <a:defRPr/>
            </a:pPr>
            <a:r>
              <a:rPr lang="pt-BR" sz="500"/>
              <a:t>Evolução comparativa dos custos médios da Cesta Básica em Luís Correia, Parnaíba, Ilha Grande de Santa Isabel e Cajueiro da Praia</a:t>
            </a:r>
          </a:p>
          <a:p>
            <a:pPr>
              <a:defRPr/>
            </a:pPr>
            <a:r>
              <a:rPr lang="pt-BR"/>
              <a:t>- janeiro a outubro de 2020 -</a:t>
            </a:r>
          </a:p>
        </c:rich>
      </c:tx>
      <c:layout>
        <c:manualLayout>
          <c:xMode val="edge"/>
          <c:yMode val="edge"/>
          <c:x val="0.11609353178678752"/>
          <c:y val="1.187808688242627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5.6693130749960609E-2"/>
          <c:y val="0.23802131822700515"/>
          <c:w val="0.88662015879714007"/>
          <c:h val="0.5986685970365929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3">
                  <c:v>415.17</c:v>
                </c:pt>
                <c:pt idx="4">
                  <c:v>389.14</c:v>
                </c:pt>
                <c:pt idx="5">
                  <c:v>386.27</c:v>
                </c:pt>
                <c:pt idx="6">
                  <c:v>361.76</c:v>
                </c:pt>
                <c:pt idx="7">
                  <c:v>381.05</c:v>
                </c:pt>
                <c:pt idx="8">
                  <c:v>411.04</c:v>
                </c:pt>
                <c:pt idx="9">
                  <c:v>426.61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Parnaíba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Ilha Grande de Santa Isabel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dLbl>
              <c:idx val="5"/>
              <c:tx>
                <c:rich>
                  <a:bodyPr/>
                  <a:lstStyle/>
                  <a:p>
                    <a:fld id="{7BC14316-A246-42C8-ADE3-71ACB9D52F2F}" type="VALUE">
                      <a:rPr lang="en-US">
                        <a:latin typeface="Yu Gothic UI Light" panose="020B0300000000000000" pitchFamily="34" charset="-128"/>
                        <a:ea typeface="Yu Gothic UI Light" panose="020B0300000000000000" pitchFamily="34" charset="-128"/>
                      </a:rPr>
                      <a:pPr/>
                      <a:t>[VALOR]</a:t>
                    </a:fld>
                    <a:endParaRPr lang="pt-BR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  <c:pt idx="5" formatCode="0.00">
                  <c:v>460.4</c:v>
                </c:pt>
                <c:pt idx="6" formatCode="0.00">
                  <c:v>439.73</c:v>
                </c:pt>
                <c:pt idx="7" formatCode="0.00">
                  <c:v>463.84</c:v>
                </c:pt>
                <c:pt idx="8" formatCode="0.00">
                  <c:v>473.31</c:v>
                </c:pt>
                <c:pt idx="9" formatCode="0.00">
                  <c:v>471.64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Plan1!$E$2:$E$11</c:f>
              <c:numCache>
                <c:formatCode>General</c:formatCode>
                <c:ptCount val="10"/>
                <c:pt idx="6" formatCode="0.00">
                  <c:v>443.9</c:v>
                </c:pt>
                <c:pt idx="7" formatCode="0.00">
                  <c:v>454.77</c:v>
                </c:pt>
                <c:pt idx="8" formatCode="0.00">
                  <c:v>461</c:v>
                </c:pt>
                <c:pt idx="9" formatCode="0.00">
                  <c:v>470.35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15608"/>
        <c:axId val="498618744"/>
      </c:lineChart>
      <c:catAx>
        <c:axId val="498615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18744"/>
        <c:crosses val="autoZero"/>
        <c:auto val="1"/>
        <c:lblAlgn val="ctr"/>
        <c:lblOffset val="100"/>
        <c:noMultiLvlLbl val="0"/>
      </c:catAx>
      <c:valAx>
        <c:axId val="4986187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15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8.1828467093787188E-2"/>
          <c:y val="0.92120698089091568"/>
          <c:w val="0.86491775484586175"/>
          <c:h val="7.879301910908430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11.1</a:t>
            </a:r>
          </a:p>
          <a:p>
            <a:pPr>
              <a:defRPr/>
            </a:pPr>
            <a:r>
              <a:rPr lang="pt-BR"/>
              <a:t>Evolução do preço da banana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6693618521565402"/>
          <c:y val="1.928131316689336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2.74</c:v>
                </c:pt>
                <c:pt idx="1">
                  <c:v>2.74</c:v>
                </c:pt>
                <c:pt idx="2">
                  <c:v>2.7</c:v>
                </c:pt>
                <c:pt idx="3">
                  <c:v>1.94</c:v>
                </c:pt>
                <c:pt idx="4">
                  <c:v>2.34</c:v>
                </c:pt>
                <c:pt idx="5">
                  <c:v>2.4700000000000002</c:v>
                </c:pt>
                <c:pt idx="6">
                  <c:v>2.44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2.4900000000000002</c:v>
                </c:pt>
                <c:pt idx="1">
                  <c:v>2.4900000000000002</c:v>
                </c:pt>
                <c:pt idx="2">
                  <c:v>2.29</c:v>
                </c:pt>
                <c:pt idx="3">
                  <c:v>1.89</c:v>
                </c:pt>
                <c:pt idx="4">
                  <c:v>2.19</c:v>
                </c:pt>
                <c:pt idx="5">
                  <c:v>2.19</c:v>
                </c:pt>
                <c:pt idx="6">
                  <c:v>2.19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35600"/>
        <c:axId val="498637952"/>
      </c:lineChart>
      <c:catAx>
        <c:axId val="49863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37952"/>
        <c:crosses val="autoZero"/>
        <c:auto val="1"/>
        <c:lblAlgn val="ctr"/>
        <c:lblOffset val="100"/>
        <c:noMultiLvlLbl val="0"/>
      </c:catAx>
      <c:valAx>
        <c:axId val="4986379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35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6594907733719985"/>
          <c:y val="0.85919055406271838"/>
          <c:w val="0.66240921377365147"/>
          <c:h val="9.952507345826416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 cristal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3413349032305539"/>
          <c:y val="1.949730554692669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8.01</c:v>
                </c:pt>
                <c:pt idx="1">
                  <c:v>7.98</c:v>
                </c:pt>
                <c:pt idx="2">
                  <c:v>7.44</c:v>
                </c:pt>
                <c:pt idx="3">
                  <c:v>7.32</c:v>
                </c:pt>
                <c:pt idx="4">
                  <c:v>7.67</c:v>
                </c:pt>
                <c:pt idx="5">
                  <c:v>7.77</c:v>
                </c:pt>
                <c:pt idx="6">
                  <c:v>7.7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7.35</c:v>
                </c:pt>
                <c:pt idx="1">
                  <c:v>7.17</c:v>
                </c:pt>
                <c:pt idx="2">
                  <c:v>6.48</c:v>
                </c:pt>
                <c:pt idx="3">
                  <c:v>7.17</c:v>
                </c:pt>
                <c:pt idx="4">
                  <c:v>7.17</c:v>
                </c:pt>
                <c:pt idx="5">
                  <c:v>7.17</c:v>
                </c:pt>
                <c:pt idx="6">
                  <c:v>7.05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39912"/>
        <c:axId val="498640304"/>
      </c:lineChart>
      <c:catAx>
        <c:axId val="498639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40304"/>
        <c:crosses val="autoZero"/>
        <c:auto val="1"/>
        <c:lblAlgn val="ctr"/>
        <c:lblOffset val="100"/>
        <c:noMultiLvlLbl val="0"/>
      </c:catAx>
      <c:valAx>
        <c:axId val="4986403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8639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594907733719985"/>
          <c:y val="0.85919055406271838"/>
          <c:w val="0.6957330193538892"/>
          <c:h val="9.952507345826416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12.1</a:t>
            </a:r>
          </a:p>
          <a:p>
            <a:pPr>
              <a:defRPr/>
            </a:pPr>
            <a:r>
              <a:rPr lang="pt-BR"/>
              <a:t>Evolução do preço do açúcar cristal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3413349032305539"/>
          <c:y val="1.949730554692669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2.67</c:v>
                </c:pt>
                <c:pt idx="1">
                  <c:v>2.66</c:v>
                </c:pt>
                <c:pt idx="2">
                  <c:v>2.48</c:v>
                </c:pt>
                <c:pt idx="3">
                  <c:v>2.44</c:v>
                </c:pt>
                <c:pt idx="4">
                  <c:v>2.56</c:v>
                </c:pt>
                <c:pt idx="5">
                  <c:v>2.59</c:v>
                </c:pt>
                <c:pt idx="6">
                  <c:v>2.57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2.4500000000000002</c:v>
                </c:pt>
                <c:pt idx="1">
                  <c:v>2.39</c:v>
                </c:pt>
                <c:pt idx="2">
                  <c:v>2.16</c:v>
                </c:pt>
                <c:pt idx="3">
                  <c:v>2.39</c:v>
                </c:pt>
                <c:pt idx="4">
                  <c:v>2.39</c:v>
                </c:pt>
                <c:pt idx="5">
                  <c:v>2.39</c:v>
                </c:pt>
                <c:pt idx="6">
                  <c:v>2.35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36776"/>
        <c:axId val="498635992"/>
      </c:lineChart>
      <c:catAx>
        <c:axId val="498636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35992"/>
        <c:crosses val="autoZero"/>
        <c:auto val="1"/>
        <c:lblAlgn val="ctr"/>
        <c:lblOffset val="100"/>
        <c:noMultiLvlLbl val="0"/>
      </c:catAx>
      <c:valAx>
        <c:axId val="4986359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36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6594907733719985"/>
          <c:y val="0.85919055406271838"/>
          <c:w val="0.67330311281183308"/>
          <c:h val="9.952507345826416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13</a:t>
            </a:r>
          </a:p>
          <a:p>
            <a:pPr>
              <a:defRPr/>
            </a:pPr>
            <a:r>
              <a:rPr lang="pt-BR"/>
              <a:t>Evolução do custo do óleo de soja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3284047173475512"/>
          <c:y val="1.949730554692669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839188803199081E-2"/>
          <c:y val="0.25009185151032692"/>
          <c:w val="0.87432162239360178"/>
          <c:h val="0.50115480761611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4.1900000000000004</c:v>
                </c:pt>
                <c:pt idx="1">
                  <c:v>3.94</c:v>
                </c:pt>
                <c:pt idx="2">
                  <c:v>3.71</c:v>
                </c:pt>
                <c:pt idx="3">
                  <c:v>4.09</c:v>
                </c:pt>
                <c:pt idx="4">
                  <c:v>5.17</c:v>
                </c:pt>
                <c:pt idx="5">
                  <c:v>6.46</c:v>
                </c:pt>
                <c:pt idx="6">
                  <c:v>7.61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3.9</c:v>
                </c:pt>
                <c:pt idx="1">
                  <c:v>3.3719999999999999</c:v>
                </c:pt>
                <c:pt idx="2">
                  <c:v>3.66</c:v>
                </c:pt>
                <c:pt idx="3">
                  <c:v>3.99</c:v>
                </c:pt>
                <c:pt idx="4">
                  <c:v>5.01</c:v>
                </c:pt>
                <c:pt idx="5">
                  <c:v>5.72</c:v>
                </c:pt>
                <c:pt idx="6">
                  <c:v>6.2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46576"/>
        <c:axId val="498644224"/>
      </c:lineChart>
      <c:catAx>
        <c:axId val="498646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44224"/>
        <c:crosses val="autoZero"/>
        <c:auto val="1"/>
        <c:lblAlgn val="ctr"/>
        <c:lblOffset val="100"/>
        <c:noMultiLvlLbl val="0"/>
      </c:catAx>
      <c:valAx>
        <c:axId val="4986442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8646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594917787742902"/>
          <c:y val="0.87076673734822585"/>
          <c:w val="0.69215246636771299"/>
          <c:h val="9.952507345826416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13.1</a:t>
            </a:r>
          </a:p>
          <a:p>
            <a:pPr>
              <a:defRPr/>
            </a:pPr>
            <a:r>
              <a:rPr lang="pt-BR"/>
              <a:t>Evolução do preço do óleo de soja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3284047173475512"/>
          <c:y val="1.949730554692669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839188803199081E-2"/>
          <c:y val="0.25009185151032692"/>
          <c:w val="0.87432162239360178"/>
          <c:h val="0.50115480761611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4.72</c:v>
                </c:pt>
                <c:pt idx="1">
                  <c:v>4.4400000000000004</c:v>
                </c:pt>
                <c:pt idx="2">
                  <c:v>4.18</c:v>
                </c:pt>
                <c:pt idx="3">
                  <c:v>4.6100000000000003</c:v>
                </c:pt>
                <c:pt idx="4">
                  <c:v>5.82</c:v>
                </c:pt>
                <c:pt idx="5">
                  <c:v>7.27</c:v>
                </c:pt>
                <c:pt idx="6">
                  <c:v>8.57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4.3899999999999997</c:v>
                </c:pt>
                <c:pt idx="1">
                  <c:v>4.1900000000000004</c:v>
                </c:pt>
                <c:pt idx="2">
                  <c:v>4.12</c:v>
                </c:pt>
                <c:pt idx="3">
                  <c:v>4.49</c:v>
                </c:pt>
                <c:pt idx="4">
                  <c:v>5.65</c:v>
                </c:pt>
                <c:pt idx="5">
                  <c:v>6.44</c:v>
                </c:pt>
                <c:pt idx="6">
                  <c:v>6.98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45008"/>
        <c:axId val="498641088"/>
      </c:lineChart>
      <c:catAx>
        <c:axId val="498645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41088"/>
        <c:crosses val="autoZero"/>
        <c:auto val="1"/>
        <c:lblAlgn val="ctr"/>
        <c:lblOffset val="100"/>
        <c:noMultiLvlLbl val="0"/>
      </c:catAx>
      <c:valAx>
        <c:axId val="4986410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45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3594917787742902"/>
          <c:y val="0.87076673734822585"/>
          <c:w val="0.73860592257806335"/>
          <c:h val="9.952507345826416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14</a:t>
            </a:r>
          </a:p>
          <a:p>
            <a:pPr>
              <a:defRPr/>
            </a:pPr>
            <a:r>
              <a:rPr lang="pt-BR"/>
              <a:t>Evolução do custo da manteiga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5096287670690446"/>
          <c:y val="1.991457511725115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31.28</c:v>
                </c:pt>
                <c:pt idx="1">
                  <c:v>30.47</c:v>
                </c:pt>
                <c:pt idx="2">
                  <c:v>30.38</c:v>
                </c:pt>
                <c:pt idx="3">
                  <c:v>29.76</c:v>
                </c:pt>
                <c:pt idx="4">
                  <c:v>28.69</c:v>
                </c:pt>
                <c:pt idx="5">
                  <c:v>29.41</c:v>
                </c:pt>
                <c:pt idx="6">
                  <c:v>31.14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28.13</c:v>
                </c:pt>
                <c:pt idx="1">
                  <c:v>28.13</c:v>
                </c:pt>
                <c:pt idx="2">
                  <c:v>26.48</c:v>
                </c:pt>
                <c:pt idx="3">
                  <c:v>28.49</c:v>
                </c:pt>
                <c:pt idx="4">
                  <c:v>26.99</c:v>
                </c:pt>
                <c:pt idx="5">
                  <c:v>25.94</c:v>
                </c:pt>
                <c:pt idx="6">
                  <c:v>25.94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43440"/>
        <c:axId val="498641480"/>
      </c:lineChart>
      <c:catAx>
        <c:axId val="49864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41480"/>
        <c:crosses val="autoZero"/>
        <c:auto val="1"/>
        <c:lblAlgn val="ctr"/>
        <c:lblOffset val="100"/>
        <c:noMultiLvlLbl val="0"/>
      </c:catAx>
      <c:valAx>
        <c:axId val="4986414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8643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594907733719985"/>
          <c:y val="0.85919055406271838"/>
          <c:w val="0.67014693567476169"/>
          <c:h val="9.952507345826416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14.1</a:t>
            </a:r>
          </a:p>
          <a:p>
            <a:pPr>
              <a:defRPr/>
            </a:pPr>
            <a:r>
              <a:rPr lang="pt-BR"/>
              <a:t>Evolução do preço da manteiga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5096287670690446"/>
          <c:y val="1.991457511725115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20.85</c:v>
                </c:pt>
                <c:pt idx="1">
                  <c:v>20.309999999999999</c:v>
                </c:pt>
                <c:pt idx="2">
                  <c:v>20.25</c:v>
                </c:pt>
                <c:pt idx="3">
                  <c:v>19.84</c:v>
                </c:pt>
                <c:pt idx="4">
                  <c:v>19.12</c:v>
                </c:pt>
                <c:pt idx="5">
                  <c:v>19.61</c:v>
                </c:pt>
                <c:pt idx="6">
                  <c:v>20.76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18.75</c:v>
                </c:pt>
                <c:pt idx="1">
                  <c:v>18.75</c:v>
                </c:pt>
                <c:pt idx="2">
                  <c:v>17.649999999999999</c:v>
                </c:pt>
                <c:pt idx="3">
                  <c:v>18.989999999999998</c:v>
                </c:pt>
                <c:pt idx="4">
                  <c:v>17.989999999999998</c:v>
                </c:pt>
                <c:pt idx="5">
                  <c:v>17.29</c:v>
                </c:pt>
                <c:pt idx="6">
                  <c:v>17.29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37560"/>
        <c:axId val="498638344"/>
      </c:lineChart>
      <c:catAx>
        <c:axId val="498637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38344"/>
        <c:crosses val="autoZero"/>
        <c:auto val="1"/>
        <c:lblAlgn val="ctr"/>
        <c:lblOffset val="100"/>
        <c:noMultiLvlLbl val="0"/>
      </c:catAx>
      <c:valAx>
        <c:axId val="4986383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37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6594907733719985"/>
          <c:y val="0.85919055406271838"/>
          <c:w val="0.67759711261646405"/>
          <c:h val="9.952507345826416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20084810627721814"/>
          <c:y val="7.336576851082725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87.4</c:v>
                </c:pt>
                <c:pt idx="1">
                  <c:v>81.92</c:v>
                </c:pt>
                <c:pt idx="2">
                  <c:v>81.319999999999993</c:v>
                </c:pt>
                <c:pt idx="3">
                  <c:v>76.16</c:v>
                </c:pt>
                <c:pt idx="4">
                  <c:v>80.22</c:v>
                </c:pt>
                <c:pt idx="5">
                  <c:v>86.53</c:v>
                </c:pt>
                <c:pt idx="6">
                  <c:v>89.81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44616"/>
        <c:axId val="498642264"/>
      </c:lineChart>
      <c:catAx>
        <c:axId val="498644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42264"/>
        <c:crosses val="autoZero"/>
        <c:auto val="1"/>
        <c:lblAlgn val="ctr"/>
        <c:lblOffset val="100"/>
        <c:noMultiLvlLbl val="0"/>
      </c:catAx>
      <c:valAx>
        <c:axId val="4986422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44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16</a:t>
            </a:r>
          </a:p>
          <a:p>
            <a:pPr>
              <a:defRPr/>
            </a:pPr>
            <a:r>
              <a:rPr lang="pt-BR"/>
              <a:t>Evolução do custo da cesta básica em porcentagem do salário mínimo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13070514230413935"/>
          <c:y val="7.335169237304871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Porcentagem do salário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39.729999999999997</c:v>
                </c:pt>
                <c:pt idx="1">
                  <c:v>37.24</c:v>
                </c:pt>
                <c:pt idx="2">
                  <c:v>36.96</c:v>
                </c:pt>
                <c:pt idx="3">
                  <c:v>34.619999999999997</c:v>
                </c:pt>
                <c:pt idx="4">
                  <c:v>36.46</c:v>
                </c:pt>
                <c:pt idx="5">
                  <c:v>39.33</c:v>
                </c:pt>
                <c:pt idx="6">
                  <c:v>40.82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43048"/>
        <c:axId val="498645400"/>
      </c:lineChart>
      <c:catAx>
        <c:axId val="498643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45400"/>
        <c:crosses val="autoZero"/>
        <c:auto val="1"/>
        <c:lblAlgn val="ctr"/>
        <c:lblOffset val="100"/>
        <c:noMultiLvlLbl val="0"/>
      </c:catAx>
      <c:valAx>
        <c:axId val="4986454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43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3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 sz="630"/>
              <a:t>Gráfico 17</a:t>
            </a:r>
          </a:p>
          <a:p>
            <a:pPr>
              <a:defRPr sz="630"/>
            </a:pPr>
            <a:r>
              <a:rPr lang="pt-BR" sz="630"/>
              <a:t>Evolução do custo da cesta básica em porcentagem do salário mínimo líquido</a:t>
            </a:r>
          </a:p>
          <a:p>
            <a:pPr>
              <a:defRPr sz="630"/>
            </a:pPr>
            <a:r>
              <a:rPr lang="pt-BR" sz="630"/>
              <a:t>- abril a outubro de 2020 -</a:t>
            </a:r>
          </a:p>
        </c:rich>
      </c:tx>
      <c:layout>
        <c:manualLayout>
          <c:xMode val="edge"/>
          <c:yMode val="edge"/>
          <c:x val="0.10807665801551343"/>
          <c:y val="7.335169237304871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3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Salári mínimo líquido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43.18</c:v>
                </c:pt>
                <c:pt idx="1">
                  <c:v>40.479999999999997</c:v>
                </c:pt>
                <c:pt idx="2">
                  <c:v>40.18</c:v>
                </c:pt>
                <c:pt idx="3">
                  <c:v>37.630000000000003</c:v>
                </c:pt>
                <c:pt idx="4">
                  <c:v>39.64</c:v>
                </c:pt>
                <c:pt idx="5">
                  <c:v>42.75</c:v>
                </c:pt>
                <c:pt idx="6">
                  <c:v>44.37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46184"/>
        <c:axId val="498639128"/>
      </c:lineChart>
      <c:catAx>
        <c:axId val="498646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39128"/>
        <c:crosses val="autoZero"/>
        <c:auto val="1"/>
        <c:lblAlgn val="ctr"/>
        <c:lblOffset val="100"/>
        <c:noMultiLvlLbl val="0"/>
      </c:catAx>
      <c:valAx>
        <c:axId val="4986391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46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3</a:t>
            </a:r>
          </a:p>
          <a:p>
            <a:pPr>
              <a:defRPr/>
            </a:pPr>
            <a:r>
              <a:rPr lang="pt-BR"/>
              <a:t>Evolução do custo da carne bovina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3294887021803837"/>
          <c:y val="8.83559573334868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7378194377327381"/>
          <c:w val="0.90071467323567789"/>
          <c:h val="0.4808323147332215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113.59</c:v>
                </c:pt>
                <c:pt idx="1">
                  <c:v>116.96</c:v>
                </c:pt>
                <c:pt idx="2">
                  <c:v>116.9</c:v>
                </c:pt>
                <c:pt idx="3">
                  <c:v>110.96</c:v>
                </c:pt>
                <c:pt idx="4">
                  <c:v>122.21</c:v>
                </c:pt>
                <c:pt idx="5">
                  <c:v>129.26</c:v>
                </c:pt>
                <c:pt idx="6">
                  <c:v>132.72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98.96</c:v>
                </c:pt>
                <c:pt idx="1">
                  <c:v>107.96</c:v>
                </c:pt>
                <c:pt idx="2">
                  <c:v>108.41</c:v>
                </c:pt>
                <c:pt idx="3">
                  <c:v>89.96</c:v>
                </c:pt>
                <c:pt idx="4">
                  <c:v>107.96</c:v>
                </c:pt>
                <c:pt idx="5">
                  <c:v>110.21</c:v>
                </c:pt>
                <c:pt idx="6">
                  <c:v>112.46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14432"/>
        <c:axId val="498619136"/>
      </c:lineChart>
      <c:catAx>
        <c:axId val="49861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19136"/>
        <c:crosses val="autoZero"/>
        <c:auto val="1"/>
        <c:lblAlgn val="ctr"/>
        <c:lblOffset val="100"/>
        <c:noMultiLvlLbl val="0"/>
      </c:catAx>
      <c:valAx>
        <c:axId val="4986191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8614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509276084079233"/>
          <c:y val="0.87012208988316897"/>
          <c:w val="0.68974647722107363"/>
          <c:h val="8.68429489792036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18</a:t>
            </a:r>
          </a:p>
          <a:p>
            <a:pPr>
              <a:defRPr/>
            </a:pPr>
            <a:r>
              <a:rPr lang="pt-BR"/>
              <a:t>Evolução do preço do ovo de galinha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3220457777973283"/>
          <c:y val="8.81054095136552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5009185151032692"/>
          <c:w val="0.87464387464387461"/>
          <c:h val="0.50115480761611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7.26</c:v>
                </c:pt>
                <c:pt idx="1">
                  <c:v>6.04</c:v>
                </c:pt>
                <c:pt idx="2">
                  <c:v>6.98</c:v>
                </c:pt>
                <c:pt idx="3">
                  <c:v>6.25</c:v>
                </c:pt>
                <c:pt idx="4">
                  <c:v>6.1</c:v>
                </c:pt>
                <c:pt idx="5">
                  <c:v>5.46</c:v>
                </c:pt>
                <c:pt idx="6">
                  <c:v>7.49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5.5</c:v>
                </c:pt>
                <c:pt idx="1">
                  <c:v>4.8</c:v>
                </c:pt>
                <c:pt idx="2">
                  <c:v>6.75</c:v>
                </c:pt>
                <c:pt idx="3">
                  <c:v>4.8</c:v>
                </c:pt>
                <c:pt idx="4">
                  <c:v>5.2</c:v>
                </c:pt>
                <c:pt idx="5">
                  <c:v>4.3600000000000003</c:v>
                </c:pt>
                <c:pt idx="6">
                  <c:v>6.19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48144"/>
        <c:axId val="498657160"/>
      </c:lineChart>
      <c:catAx>
        <c:axId val="49864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57160"/>
        <c:crosses val="autoZero"/>
        <c:auto val="1"/>
        <c:lblAlgn val="ctr"/>
        <c:lblOffset val="100"/>
        <c:noMultiLvlLbl val="0"/>
      </c:catAx>
      <c:valAx>
        <c:axId val="4986571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8648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7781367072707E-2"/>
          <c:y val="0.87305472909207482"/>
          <c:w val="0.9"/>
          <c:h val="9.034874757764152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19</a:t>
            </a:r>
          </a:p>
          <a:p>
            <a:pPr>
              <a:defRPr/>
            </a:pPr>
            <a:r>
              <a:rPr lang="pt-BR"/>
              <a:t>Evolução do preço do frango fresco ou congelado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24551298624985307"/>
          <c:y val="8.81054095136552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866883748406106"/>
          <c:w val="0.87464387464387461"/>
          <c:h val="0.437110891788114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8.67</c:v>
                </c:pt>
                <c:pt idx="1">
                  <c:v>7.34</c:v>
                </c:pt>
                <c:pt idx="2">
                  <c:v>7.12</c:v>
                </c:pt>
                <c:pt idx="3">
                  <c:v>9.49</c:v>
                </c:pt>
                <c:pt idx="4">
                  <c:v>8.89</c:v>
                </c:pt>
                <c:pt idx="5">
                  <c:v>10.49</c:v>
                </c:pt>
                <c:pt idx="6">
                  <c:v>10.74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  <c:pt idx="0">
                  <c:v>7.49</c:v>
                </c:pt>
                <c:pt idx="1">
                  <c:v>4.99</c:v>
                </c:pt>
                <c:pt idx="2">
                  <c:v>5.29</c:v>
                </c:pt>
                <c:pt idx="3">
                  <c:v>9.49</c:v>
                </c:pt>
                <c:pt idx="4">
                  <c:v>7.49</c:v>
                </c:pt>
                <c:pt idx="5">
                  <c:v>8.99</c:v>
                </c:pt>
                <c:pt idx="6">
                  <c:v>8.99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51280"/>
        <c:axId val="498651672"/>
      </c:lineChart>
      <c:catAx>
        <c:axId val="49865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51672"/>
        <c:crosses val="autoZero"/>
        <c:auto val="1"/>
        <c:lblAlgn val="ctr"/>
        <c:lblOffset val="100"/>
        <c:noMultiLvlLbl val="0"/>
      </c:catAx>
      <c:valAx>
        <c:axId val="4986516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51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4560733659436216"/>
          <c:w val="0.9"/>
          <c:h val="9.949787841021244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20</a:t>
            </a:r>
          </a:p>
          <a:p>
            <a:pPr>
              <a:defRPr/>
            </a:pPr>
            <a:r>
              <a:rPr lang="pt-BR"/>
              <a:t>Evolução do preço da batata inglesa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3747552680705062"/>
          <c:y val="8.81054095136552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775392440080397"/>
          <c:w val="0.87464387464387461"/>
          <c:h val="0.4645582842858275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5.99</c:v>
                </c:pt>
                <c:pt idx="1">
                  <c:v>6.09</c:v>
                </c:pt>
                <c:pt idx="2">
                  <c:v>6.26</c:v>
                </c:pt>
                <c:pt idx="3">
                  <c:v>3.64</c:v>
                </c:pt>
                <c:pt idx="4">
                  <c:v>3.44</c:v>
                </c:pt>
                <c:pt idx="5">
                  <c:v>2.74</c:v>
                </c:pt>
                <c:pt idx="6">
                  <c:v>5.09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  <c:pt idx="0">
                  <c:v>5.99</c:v>
                </c:pt>
                <c:pt idx="1">
                  <c:v>5.99</c:v>
                </c:pt>
                <c:pt idx="2">
                  <c:v>5.93</c:v>
                </c:pt>
                <c:pt idx="3">
                  <c:v>3.59</c:v>
                </c:pt>
                <c:pt idx="4">
                  <c:v>3.39</c:v>
                </c:pt>
                <c:pt idx="5">
                  <c:v>2.4900000000000002</c:v>
                </c:pt>
                <c:pt idx="6">
                  <c:v>4.6900000000000004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56768"/>
        <c:axId val="498659904"/>
      </c:lineChart>
      <c:catAx>
        <c:axId val="49865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59904"/>
        <c:crosses val="autoZero"/>
        <c:auto val="1"/>
        <c:lblAlgn val="ctr"/>
        <c:lblOffset val="100"/>
        <c:noMultiLvlLbl val="0"/>
      </c:catAx>
      <c:valAx>
        <c:axId val="4986599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56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6390559825950408"/>
          <c:w val="0.9"/>
          <c:h val="9.034874757764152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21</a:t>
            </a:r>
          </a:p>
          <a:p>
            <a:pPr>
              <a:defRPr/>
            </a:pPr>
            <a:r>
              <a:rPr lang="pt-BR"/>
              <a:t>Evolução do preço da laranja pera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1373627261337717"/>
          <c:y val="8.81054095136552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2.39</c:v>
                </c:pt>
                <c:pt idx="1">
                  <c:v>2.09</c:v>
                </c:pt>
                <c:pt idx="2">
                  <c:v>3.25</c:v>
                </c:pt>
                <c:pt idx="3">
                  <c:v>1.64</c:v>
                </c:pt>
                <c:pt idx="4">
                  <c:v>1.59</c:v>
                </c:pt>
                <c:pt idx="5">
                  <c:v>2.09</c:v>
                </c:pt>
                <c:pt idx="6">
                  <c:v>2.2000000000000002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1.89</c:v>
                </c:pt>
                <c:pt idx="1">
                  <c:v>1.49</c:v>
                </c:pt>
                <c:pt idx="2">
                  <c:v>3.1</c:v>
                </c:pt>
                <c:pt idx="3">
                  <c:v>0.99</c:v>
                </c:pt>
                <c:pt idx="4">
                  <c:v>0.89</c:v>
                </c:pt>
                <c:pt idx="5">
                  <c:v>1.99</c:v>
                </c:pt>
                <c:pt idx="6">
                  <c:v>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50888"/>
        <c:axId val="498652456"/>
      </c:lineChart>
      <c:catAx>
        <c:axId val="498650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52456"/>
        <c:crosses val="autoZero"/>
        <c:auto val="1"/>
        <c:lblAlgn val="ctr"/>
        <c:lblOffset val="100"/>
        <c:noMultiLvlLbl val="0"/>
      </c:catAx>
      <c:valAx>
        <c:axId val="4986524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8650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7781367072707E-2"/>
          <c:y val="0.87305472909207482"/>
          <c:w val="0.9"/>
          <c:h val="9.034874757764152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22</a:t>
            </a:r>
          </a:p>
          <a:p>
            <a:pPr>
              <a:defRPr/>
            </a:pPr>
            <a:r>
              <a:rPr lang="pt-BR"/>
              <a:t>Evolução do preço do macarrão espagete no 8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2508226297620697"/>
          <c:y val="8.81054095136552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2.66</c:v>
                </c:pt>
                <c:pt idx="1">
                  <c:v>2.66</c:v>
                </c:pt>
                <c:pt idx="2">
                  <c:v>2.4500000000000002</c:v>
                </c:pt>
                <c:pt idx="3">
                  <c:v>2.71</c:v>
                </c:pt>
                <c:pt idx="4">
                  <c:v>2.68</c:v>
                </c:pt>
                <c:pt idx="5">
                  <c:v>2.4300000000000002</c:v>
                </c:pt>
                <c:pt idx="6">
                  <c:v>2.37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  <c:pt idx="0">
                  <c:v>1.99</c:v>
                </c:pt>
                <c:pt idx="1">
                  <c:v>2.39</c:v>
                </c:pt>
                <c:pt idx="2">
                  <c:v>2.2599999999999998</c:v>
                </c:pt>
                <c:pt idx="3">
                  <c:v>2.39</c:v>
                </c:pt>
                <c:pt idx="4">
                  <c:v>2.4900000000000002</c:v>
                </c:pt>
                <c:pt idx="5">
                  <c:v>2.19</c:v>
                </c:pt>
                <c:pt idx="6">
                  <c:v>1.69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48536"/>
        <c:axId val="498659120"/>
      </c:lineChart>
      <c:catAx>
        <c:axId val="498648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59120"/>
        <c:crosses val="autoZero"/>
        <c:auto val="1"/>
        <c:lblAlgn val="ctr"/>
        <c:lblOffset val="100"/>
        <c:noMultiLvlLbl val="0"/>
      </c:catAx>
      <c:valAx>
        <c:axId val="4986591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48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7305472909207482"/>
          <c:w val="0.9"/>
          <c:h val="9.9497878410212431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23</a:t>
            </a:r>
          </a:p>
          <a:p>
            <a:pPr>
              <a:defRPr/>
            </a:pPr>
            <a:r>
              <a:rPr lang="pt-BR"/>
              <a:t>Evolução do preço da farinha de milho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25457646758768521"/>
          <c:y val="8.81054095136552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866883748406106"/>
          <c:w val="0.87464387464387461"/>
          <c:h val="0.4645582842858275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1.34</c:v>
                </c:pt>
                <c:pt idx="1">
                  <c:v>1.49</c:v>
                </c:pt>
                <c:pt idx="2">
                  <c:v>1.87</c:v>
                </c:pt>
                <c:pt idx="3">
                  <c:v>1.44</c:v>
                </c:pt>
                <c:pt idx="4">
                  <c:v>1.45</c:v>
                </c:pt>
                <c:pt idx="5">
                  <c:v>1.39</c:v>
                </c:pt>
                <c:pt idx="6">
                  <c:v>1.4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1.29</c:v>
                </c:pt>
                <c:pt idx="1">
                  <c:v>1.29</c:v>
                </c:pt>
                <c:pt idx="2">
                  <c:v>1.45</c:v>
                </c:pt>
                <c:pt idx="3">
                  <c:v>1.0900000000000001</c:v>
                </c:pt>
                <c:pt idx="4">
                  <c:v>1.29</c:v>
                </c:pt>
                <c:pt idx="5">
                  <c:v>1.19</c:v>
                </c:pt>
                <c:pt idx="6">
                  <c:v>1.1499999999999999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49320"/>
        <c:axId val="498649712"/>
      </c:lineChart>
      <c:catAx>
        <c:axId val="498649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49712"/>
        <c:crosses val="autoZero"/>
        <c:auto val="1"/>
        <c:lblAlgn val="ctr"/>
        <c:lblOffset val="100"/>
        <c:noMultiLvlLbl val="0"/>
      </c:catAx>
      <c:valAx>
        <c:axId val="4986497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8649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7031093590365427E-2"/>
          <c:y val="0.90965125242235845"/>
          <c:w val="0.81454157973843022"/>
          <c:h val="9.034874757764152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24</a:t>
            </a:r>
          </a:p>
          <a:p>
            <a:pPr>
              <a:defRPr/>
            </a:pPr>
            <a:r>
              <a:rPr lang="pt-BR"/>
              <a:t>Evolução do preço do preço da margarina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2850107748137623"/>
          <c:y val="8.81054095136552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2.34</c:v>
                </c:pt>
                <c:pt idx="1">
                  <c:v>2.87</c:v>
                </c:pt>
                <c:pt idx="2">
                  <c:v>2.48</c:v>
                </c:pt>
                <c:pt idx="3">
                  <c:v>2.39</c:v>
                </c:pt>
                <c:pt idx="4">
                  <c:v>2.4700000000000002</c:v>
                </c:pt>
                <c:pt idx="5">
                  <c:v>2.4700000000000002</c:v>
                </c:pt>
                <c:pt idx="6">
                  <c:v>2.3199999999999998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  <c:pt idx="0">
                  <c:v>1.69</c:v>
                </c:pt>
                <c:pt idx="1">
                  <c:v>1.99</c:v>
                </c:pt>
                <c:pt idx="2">
                  <c:v>2.36</c:v>
                </c:pt>
                <c:pt idx="3">
                  <c:v>1.59</c:v>
                </c:pt>
                <c:pt idx="4">
                  <c:v>1.59</c:v>
                </c:pt>
                <c:pt idx="5">
                  <c:v>1.69</c:v>
                </c:pt>
                <c:pt idx="6">
                  <c:v>1.85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50496"/>
        <c:axId val="498652848"/>
      </c:lineChart>
      <c:catAx>
        <c:axId val="498650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52848"/>
        <c:crosses val="autoZero"/>
        <c:auto val="1"/>
        <c:lblAlgn val="ctr"/>
        <c:lblOffset val="100"/>
        <c:noMultiLvlLbl val="0"/>
      </c:catAx>
      <c:valAx>
        <c:axId val="4986528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50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5475646742693301"/>
          <c:w val="0.9"/>
          <c:h val="9.9497878410212431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25</a:t>
            </a:r>
          </a:p>
          <a:p>
            <a:pPr>
              <a:defRPr/>
            </a:pPr>
            <a:r>
              <a:rPr lang="pt-BR"/>
              <a:t>Evolução do preço do preço da gasolina comum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23942667967702086"/>
          <c:y val="8.81054095136552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5924098234289789"/>
          <c:w val="0.87464387464387461"/>
          <c:h val="0.4645582842858275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0.000</c:formatCode>
                <c:ptCount val="7"/>
                <c:pt idx="0">
                  <c:v>3.976</c:v>
                </c:pt>
                <c:pt idx="1">
                  <c:v>3.976</c:v>
                </c:pt>
                <c:pt idx="2">
                  <c:v>4.24</c:v>
                </c:pt>
                <c:pt idx="3">
                  <c:v>4.4359999999999999</c:v>
                </c:pt>
                <c:pt idx="4">
                  <c:v>4.5880000000000001</c:v>
                </c:pt>
                <c:pt idx="5">
                  <c:v>4.6900000000000004</c:v>
                </c:pt>
                <c:pt idx="6">
                  <c:v>4.6980000000000004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0.000</c:formatCode>
                <c:ptCount val="7"/>
                <c:pt idx="0">
                  <c:v>3.9489999999999998</c:v>
                </c:pt>
                <c:pt idx="1">
                  <c:v>3.9489999999999998</c:v>
                </c:pt>
                <c:pt idx="2">
                  <c:v>4.1589999999999998</c:v>
                </c:pt>
                <c:pt idx="3">
                  <c:v>4.3490000000000002</c:v>
                </c:pt>
                <c:pt idx="4">
                  <c:v>4.5490000000000004</c:v>
                </c:pt>
                <c:pt idx="5">
                  <c:v>4.6589999999999998</c:v>
                </c:pt>
                <c:pt idx="6">
                  <c:v>4.68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59512"/>
        <c:axId val="498653632"/>
      </c:lineChart>
      <c:catAx>
        <c:axId val="498659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53632"/>
        <c:crosses val="autoZero"/>
        <c:auto val="1"/>
        <c:lblAlgn val="ctr"/>
        <c:lblOffset val="100"/>
        <c:noMultiLvlLbl val="0"/>
      </c:catAx>
      <c:valAx>
        <c:axId val="4986536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98659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7781367072707E-2"/>
          <c:y val="0.87305472909207482"/>
          <c:w val="0.9"/>
          <c:h val="9.9497878410212431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26</a:t>
            </a:r>
          </a:p>
          <a:p>
            <a:pPr>
              <a:defRPr/>
            </a:pPr>
            <a:r>
              <a:rPr lang="pt-BR"/>
              <a:t>Evolução do preço do preço do álcool/etanol comum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23381087302208356"/>
          <c:y val="8.81054095136552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 = Preço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2" formatCode="0.000">
                  <c:v>3.61</c:v>
                </c:pt>
                <c:pt idx="3" formatCode="0.000">
                  <c:v>3.61</c:v>
                </c:pt>
                <c:pt idx="4" formatCode="0.000">
                  <c:v>3.78</c:v>
                </c:pt>
                <c:pt idx="5" formatCode="0.000">
                  <c:v>3.81</c:v>
                </c:pt>
                <c:pt idx="6" formatCode="0.000">
                  <c:v>3.81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54416"/>
        <c:axId val="498657552"/>
      </c:lineChart>
      <c:catAx>
        <c:axId val="49865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57552"/>
        <c:crosses val="autoZero"/>
        <c:auto val="1"/>
        <c:lblAlgn val="ctr"/>
        <c:lblOffset val="100"/>
        <c:noMultiLvlLbl val="0"/>
      </c:catAx>
      <c:valAx>
        <c:axId val="4986575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54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72858200417256E-2"/>
          <c:y val="0.79071255159893672"/>
          <c:w val="0.86654238732978905"/>
          <c:h val="0.1543926634056378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27</a:t>
            </a:r>
          </a:p>
          <a:p>
            <a:pPr>
              <a:defRPr/>
            </a:pPr>
            <a:r>
              <a:rPr lang="pt-BR"/>
              <a:t>Evolução da eficiência gasolina/álcool-etanol - %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28093816052851123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33243402900346508"/>
          <c:w val="0.87464387464387461"/>
          <c:h val="0.5321746835625418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2">
                  <c:v>85.15</c:v>
                </c:pt>
                <c:pt idx="3">
                  <c:v>81.38</c:v>
                </c:pt>
                <c:pt idx="4">
                  <c:v>82.39</c:v>
                </c:pt>
                <c:pt idx="5">
                  <c:v>81.239999999999995</c:v>
                </c:pt>
                <c:pt idx="6">
                  <c:v>81.11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54808"/>
        <c:axId val="498655592"/>
      </c:lineChart>
      <c:catAx>
        <c:axId val="498654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55592"/>
        <c:crosses val="autoZero"/>
        <c:auto val="1"/>
        <c:lblAlgn val="ctr"/>
        <c:lblOffset val="100"/>
        <c:noMultiLvlLbl val="0"/>
      </c:catAx>
      <c:valAx>
        <c:axId val="4986555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54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3.1</a:t>
            </a:r>
          </a:p>
          <a:p>
            <a:pPr>
              <a:defRPr/>
            </a:pPr>
            <a:r>
              <a:rPr lang="pt-BR"/>
              <a:t>Evolução do preço da carne bovina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2550008064634384"/>
          <c:y val="8.83559573334868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7378194377327381"/>
          <c:w val="0.90071467323567789"/>
          <c:h val="0.4808323147332215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  <c:pt idx="0">
                  <c:v>25.24</c:v>
                </c:pt>
                <c:pt idx="1">
                  <c:v>25.99</c:v>
                </c:pt>
                <c:pt idx="2">
                  <c:v>25.98</c:v>
                </c:pt>
                <c:pt idx="3">
                  <c:v>24.66</c:v>
                </c:pt>
                <c:pt idx="4">
                  <c:v>27.16</c:v>
                </c:pt>
                <c:pt idx="5">
                  <c:v>28.73</c:v>
                </c:pt>
                <c:pt idx="6">
                  <c:v>29.49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Plan1!$E$2:$E$8</c:f>
              <c:numCache>
                <c:formatCode>General</c:formatCode>
                <c:ptCount val="7"/>
                <c:pt idx="0">
                  <c:v>21.99</c:v>
                </c:pt>
                <c:pt idx="1">
                  <c:v>23.99</c:v>
                </c:pt>
                <c:pt idx="2">
                  <c:v>24.09</c:v>
                </c:pt>
                <c:pt idx="3">
                  <c:v>19.989999999999998</c:v>
                </c:pt>
                <c:pt idx="4">
                  <c:v>23.99</c:v>
                </c:pt>
                <c:pt idx="5">
                  <c:v>24.49</c:v>
                </c:pt>
                <c:pt idx="6">
                  <c:v>24.99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12080"/>
        <c:axId val="498616392"/>
      </c:lineChart>
      <c:catAx>
        <c:axId val="49861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16392"/>
        <c:crosses val="autoZero"/>
        <c:auto val="1"/>
        <c:lblAlgn val="ctr"/>
        <c:lblOffset val="100"/>
        <c:noMultiLvlLbl val="0"/>
      </c:catAx>
      <c:valAx>
        <c:axId val="4986163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12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0922682150764675"/>
          <c:y val="0.87012192488735984"/>
          <c:w val="0.83490725670464372"/>
          <c:h val="0.121040320142797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28</a:t>
            </a:r>
          </a:p>
          <a:p>
            <a:pPr>
              <a:defRPr/>
            </a:pPr>
            <a:r>
              <a:rPr lang="pt-BR"/>
              <a:t>Evolução do preço do preço do óleo diesel comum</a:t>
            </a:r>
          </a:p>
          <a:p>
            <a:pPr>
              <a:defRPr/>
            </a:pPr>
            <a:r>
              <a:rPr lang="pt-BR"/>
              <a:t>- abril a outubrode 2020 -</a:t>
            </a:r>
          </a:p>
        </c:rich>
      </c:tx>
      <c:layout>
        <c:manualLayout>
          <c:xMode val="edge"/>
          <c:yMode val="edge"/>
          <c:x val="0.26970641211967561"/>
          <c:y val="8.81054095136552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0.000</c:formatCode>
                <c:ptCount val="7"/>
                <c:pt idx="0">
                  <c:v>3.359</c:v>
                </c:pt>
                <c:pt idx="1">
                  <c:v>3.1589999999999998</c:v>
                </c:pt>
                <c:pt idx="2">
                  <c:v>3.42</c:v>
                </c:pt>
                <c:pt idx="3">
                  <c:v>3.57</c:v>
                </c:pt>
                <c:pt idx="4">
                  <c:v>3.83</c:v>
                </c:pt>
                <c:pt idx="5">
                  <c:v>3.734</c:v>
                </c:pt>
                <c:pt idx="6">
                  <c:v>3.81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0.000</c:formatCode>
                <c:ptCount val="7"/>
                <c:pt idx="0">
                  <c:v>3.359</c:v>
                </c:pt>
                <c:pt idx="1">
                  <c:v>3.1589999999999998</c:v>
                </c:pt>
                <c:pt idx="2">
                  <c:v>3.21</c:v>
                </c:pt>
                <c:pt idx="3">
                  <c:v>3.35</c:v>
                </c:pt>
                <c:pt idx="4">
                  <c:v>3.4889999999999999</c:v>
                </c:pt>
                <c:pt idx="5">
                  <c:v>3.69</c:v>
                </c:pt>
                <c:pt idx="6">
                  <c:v>2.76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56376"/>
        <c:axId val="498658728"/>
      </c:lineChart>
      <c:catAx>
        <c:axId val="498656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58728"/>
        <c:crosses val="autoZero"/>
        <c:auto val="1"/>
        <c:lblAlgn val="ctr"/>
        <c:lblOffset val="100"/>
        <c:noMultiLvlLbl val="0"/>
      </c:catAx>
      <c:valAx>
        <c:axId val="4986587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98656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7781367072707E-2"/>
          <c:y val="0.86390559825950408"/>
          <c:w val="0.9"/>
          <c:h val="9.949787841021244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29</a:t>
            </a:r>
          </a:p>
          <a:p>
            <a:pPr>
              <a:defRPr/>
            </a:pPr>
            <a:r>
              <a:rPr lang="pt-BR"/>
              <a:t>Evolução do preço do preço do gás de cozinha</a:t>
            </a:r>
          </a:p>
          <a:p>
            <a:pPr>
              <a:defRPr/>
            </a:pPr>
            <a:r>
              <a:rPr lang="pt-BR"/>
              <a:t>- abril a julho de 2020 -</a:t>
            </a:r>
          </a:p>
        </c:rich>
      </c:tx>
      <c:layout>
        <c:manualLayout>
          <c:xMode val="edge"/>
          <c:yMode val="edge"/>
          <c:x val="0.2603816994994585"/>
          <c:y val="8.81054095136552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80</c:v>
                </c:pt>
                <c:pt idx="1">
                  <c:v>80</c:v>
                </c:pt>
                <c:pt idx="2">
                  <c:v>83.33</c:v>
                </c:pt>
                <c:pt idx="3">
                  <c:v>87.5</c:v>
                </c:pt>
                <c:pt idx="4">
                  <c:v>86.5</c:v>
                </c:pt>
                <c:pt idx="5">
                  <c:v>87.5</c:v>
                </c:pt>
                <c:pt idx="6">
                  <c:v>87.5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85</c:v>
                </c:pt>
                <c:pt idx="4">
                  <c:v>83</c:v>
                </c:pt>
                <c:pt idx="5">
                  <c:v>85</c:v>
                </c:pt>
                <c:pt idx="6">
                  <c:v>85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61080"/>
        <c:axId val="498661864"/>
      </c:lineChart>
      <c:catAx>
        <c:axId val="498661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61864"/>
        <c:crosses val="autoZero"/>
        <c:auto val="1"/>
        <c:lblAlgn val="ctr"/>
        <c:lblOffset val="100"/>
        <c:noMultiLvlLbl val="0"/>
      </c:catAx>
      <c:valAx>
        <c:axId val="4986618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8661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5475646742693301"/>
          <c:w val="0.9"/>
          <c:h val="0.1086470092427833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4</a:t>
            </a:r>
          </a:p>
          <a:p>
            <a:pPr>
              <a:defRPr/>
            </a:pPr>
            <a:r>
              <a:rPr lang="pt-BR"/>
              <a:t>Evolução do custo do leite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6301485782334575"/>
          <c:y val="3.6257967754030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21.59</c:v>
                </c:pt>
                <c:pt idx="1">
                  <c:v>21.74</c:v>
                </c:pt>
                <c:pt idx="2">
                  <c:v>23.77</c:v>
                </c:pt>
                <c:pt idx="3">
                  <c:v>26.49</c:v>
                </c:pt>
                <c:pt idx="4">
                  <c:v>27.95</c:v>
                </c:pt>
                <c:pt idx="5">
                  <c:v>28.9</c:v>
                </c:pt>
                <c:pt idx="6">
                  <c:v>29.4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17.940000000000001</c:v>
                </c:pt>
                <c:pt idx="1">
                  <c:v>16.739999999999998</c:v>
                </c:pt>
                <c:pt idx="2">
                  <c:v>22.14</c:v>
                </c:pt>
                <c:pt idx="3">
                  <c:v>22.74</c:v>
                </c:pt>
                <c:pt idx="4">
                  <c:v>26.1</c:v>
                </c:pt>
                <c:pt idx="5">
                  <c:v>24.9</c:v>
                </c:pt>
                <c:pt idx="6">
                  <c:v>26.34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19528"/>
        <c:axId val="498619920"/>
      </c:lineChart>
      <c:catAx>
        <c:axId val="498619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19920"/>
        <c:crosses val="autoZero"/>
        <c:auto val="1"/>
        <c:lblAlgn val="ctr"/>
        <c:lblOffset val="100"/>
        <c:noMultiLvlLbl val="0"/>
      </c:catAx>
      <c:valAx>
        <c:axId val="4986199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8619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4701134978727383E-2"/>
          <c:y val="0.8567225706956122"/>
          <c:w val="0.84569744948765369"/>
          <c:h val="9.974998887850883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4.1</a:t>
            </a:r>
          </a:p>
          <a:p>
            <a:pPr>
              <a:defRPr/>
            </a:pPr>
            <a:r>
              <a:rPr lang="pt-BR"/>
              <a:t>Evolução do preço do leite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6301485782334575"/>
          <c:y val="3.6257967754030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3.6</c:v>
                </c:pt>
                <c:pt idx="1">
                  <c:v>3.62</c:v>
                </c:pt>
                <c:pt idx="2">
                  <c:v>3.96</c:v>
                </c:pt>
                <c:pt idx="3">
                  <c:v>4.42</c:v>
                </c:pt>
                <c:pt idx="4">
                  <c:v>4.66</c:v>
                </c:pt>
                <c:pt idx="5">
                  <c:v>4.82</c:v>
                </c:pt>
                <c:pt idx="6">
                  <c:v>4.9000000000000004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2.99</c:v>
                </c:pt>
                <c:pt idx="1">
                  <c:v>2.79</c:v>
                </c:pt>
                <c:pt idx="2">
                  <c:v>3.69</c:v>
                </c:pt>
                <c:pt idx="3">
                  <c:v>3.79</c:v>
                </c:pt>
                <c:pt idx="4">
                  <c:v>4.3499999999999996</c:v>
                </c:pt>
                <c:pt idx="5">
                  <c:v>4.1500000000000004</c:v>
                </c:pt>
                <c:pt idx="6">
                  <c:v>4.3899999999999997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14824"/>
        <c:axId val="498621880"/>
      </c:lineChart>
      <c:catAx>
        <c:axId val="498614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21880"/>
        <c:crosses val="autoZero"/>
        <c:auto val="1"/>
        <c:lblAlgn val="ctr"/>
        <c:lblOffset val="100"/>
        <c:noMultiLvlLbl val="0"/>
      </c:catAx>
      <c:valAx>
        <c:axId val="4986218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14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5430255051234631"/>
          <c:y val="0.85672280095422859"/>
          <c:w val="0.73394479536211821"/>
          <c:h val="9.974998887850883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5</a:t>
            </a:r>
          </a:p>
          <a:p>
            <a:pPr>
              <a:defRPr/>
            </a:pPr>
            <a:r>
              <a:rPr lang="pt-BR"/>
              <a:t>Evolução do custo do feijão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7223593221934298"/>
          <c:y val="3.6257967754030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33.619999999999997</c:v>
                </c:pt>
                <c:pt idx="1">
                  <c:v>28.91</c:v>
                </c:pt>
                <c:pt idx="2">
                  <c:v>25.43</c:v>
                </c:pt>
                <c:pt idx="3">
                  <c:v>30.56</c:v>
                </c:pt>
                <c:pt idx="4">
                  <c:v>28.91</c:v>
                </c:pt>
                <c:pt idx="5">
                  <c:v>30.56</c:v>
                </c:pt>
                <c:pt idx="6">
                  <c:v>30.44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  <c:pt idx="0">
                  <c:v>28.31</c:v>
                </c:pt>
                <c:pt idx="1">
                  <c:v>15.71</c:v>
                </c:pt>
                <c:pt idx="2">
                  <c:v>19.489999999999998</c:v>
                </c:pt>
                <c:pt idx="3">
                  <c:v>26.96</c:v>
                </c:pt>
                <c:pt idx="4">
                  <c:v>22.46</c:v>
                </c:pt>
                <c:pt idx="5">
                  <c:v>23.81</c:v>
                </c:pt>
                <c:pt idx="6">
                  <c:v>26.06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22664"/>
        <c:axId val="498610512"/>
      </c:lineChart>
      <c:catAx>
        <c:axId val="498622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10512"/>
        <c:crosses val="autoZero"/>
        <c:auto val="1"/>
        <c:lblAlgn val="ctr"/>
        <c:lblOffset val="100"/>
        <c:noMultiLvlLbl val="0"/>
      </c:catAx>
      <c:valAx>
        <c:axId val="4986105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22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591721841643162"/>
          <c:y val="0.85672280095422859"/>
          <c:w val="0.77443018539380393"/>
          <c:h val="9.941299567283819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5.1</a:t>
            </a:r>
          </a:p>
          <a:p>
            <a:pPr>
              <a:defRPr/>
            </a:pPr>
            <a:r>
              <a:rPr lang="pt-BR"/>
              <a:t>Evolução do preço do feijão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7223593221934298"/>
          <c:y val="6.227684377290677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  <c:pt idx="0">
                  <c:v>7.45</c:v>
                </c:pt>
                <c:pt idx="1">
                  <c:v>5.87</c:v>
                </c:pt>
                <c:pt idx="2">
                  <c:v>5.65</c:v>
                </c:pt>
                <c:pt idx="3">
                  <c:v>6.79</c:v>
                </c:pt>
                <c:pt idx="4">
                  <c:v>6.42</c:v>
                </c:pt>
                <c:pt idx="5">
                  <c:v>6.79</c:v>
                </c:pt>
                <c:pt idx="6">
                  <c:v>6.77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Plan1!$E$2:$E$8</c:f>
              <c:numCache>
                <c:formatCode>General</c:formatCode>
                <c:ptCount val="7"/>
                <c:pt idx="0">
                  <c:v>6.29</c:v>
                </c:pt>
                <c:pt idx="1">
                  <c:v>3.49</c:v>
                </c:pt>
                <c:pt idx="2">
                  <c:v>4.33</c:v>
                </c:pt>
                <c:pt idx="3">
                  <c:v>5.99</c:v>
                </c:pt>
                <c:pt idx="4">
                  <c:v>4.99</c:v>
                </c:pt>
                <c:pt idx="5">
                  <c:v>5.29</c:v>
                </c:pt>
                <c:pt idx="6">
                  <c:v>5.79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32072"/>
        <c:axId val="498623056"/>
      </c:lineChart>
      <c:catAx>
        <c:axId val="498632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23056"/>
        <c:crosses val="autoZero"/>
        <c:auto val="1"/>
        <c:lblAlgn val="ctr"/>
        <c:lblOffset val="100"/>
        <c:noMultiLvlLbl val="0"/>
      </c:catAx>
      <c:valAx>
        <c:axId val="4986230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8632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3591721841643162"/>
          <c:y val="0.85672280095422859"/>
          <c:w val="0.7408104618226421"/>
          <c:h val="9.941299567283819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6</a:t>
            </a:r>
          </a:p>
          <a:p>
            <a:pPr>
              <a:defRPr/>
            </a:pPr>
            <a:r>
              <a:rPr lang="pt-BR"/>
              <a:t>Evolução do custo do arroz</a:t>
            </a:r>
          </a:p>
          <a:p>
            <a:pPr>
              <a:defRPr/>
            </a:pPr>
            <a:r>
              <a:rPr lang="pt-BR"/>
              <a:t>- abril a outubro de 2020 -</a:t>
            </a:r>
          </a:p>
        </c:rich>
      </c:tx>
      <c:layout>
        <c:manualLayout>
          <c:xMode val="edge"/>
          <c:yMode val="edge"/>
          <c:x val="0.36892986974758996"/>
          <c:y val="2.158425848942794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95924764890276E-2"/>
          <c:y val="0.25689065612038747"/>
          <c:w val="0.87460815047021945"/>
          <c:h val="0.49975300004997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12.32</c:v>
                </c:pt>
                <c:pt idx="1">
                  <c:v>13.1</c:v>
                </c:pt>
                <c:pt idx="2">
                  <c:v>12.35</c:v>
                </c:pt>
                <c:pt idx="3">
                  <c:v>13.22</c:v>
                </c:pt>
                <c:pt idx="4">
                  <c:v>13.28</c:v>
                </c:pt>
                <c:pt idx="5">
                  <c:v>16.399999999999999</c:v>
                </c:pt>
                <c:pt idx="6">
                  <c:v>16.760000000000002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Yu Gothic UI Semilight" panose="020B0400000000000000" pitchFamily="34" charset="-128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11.48</c:v>
                </c:pt>
                <c:pt idx="1">
                  <c:v>12.56</c:v>
                </c:pt>
                <c:pt idx="2">
                  <c:v>10.8</c:v>
                </c:pt>
                <c:pt idx="3">
                  <c:v>12.2</c:v>
                </c:pt>
                <c:pt idx="4">
                  <c:v>10.76</c:v>
                </c:pt>
                <c:pt idx="5">
                  <c:v>14.36</c:v>
                </c:pt>
                <c:pt idx="6">
                  <c:v>14.36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8632464"/>
        <c:axId val="498631288"/>
      </c:lineChart>
      <c:catAx>
        <c:axId val="49863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Yu Gothic UI Semilight" panose="020B0400000000000000" pitchFamily="34" charset="-128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98631288"/>
        <c:crosses val="autoZero"/>
        <c:auto val="1"/>
        <c:lblAlgn val="ctr"/>
        <c:lblOffset val="100"/>
        <c:noMultiLvlLbl val="0"/>
      </c:catAx>
      <c:valAx>
        <c:axId val="4986312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863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784928986680403"/>
          <c:y val="0.87894230612477775"/>
          <c:w val="0.70504790639487824"/>
          <c:h val="9.948768612788916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Yu Gothic UI Semilight" panose="020B0400000000000000" pitchFamily="34" charset="-128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Yu Gothic UI Semilight" panose="020B0400000000000000" pitchFamily="34" charset="-128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6B324-0436-49AD-AAC2-B43F607EA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33394</TotalTime>
  <Pages>28</Pages>
  <Words>11138</Words>
  <Characters>60151</Characters>
  <Application>Microsoft Office Word</Application>
  <DocSecurity>0</DocSecurity>
  <Lines>501</Lines>
  <Paragraphs>142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Usuário</cp:lastModifiedBy>
  <cp:revision>101</cp:revision>
  <cp:lastPrinted>2020-11-30T20:02:00Z</cp:lastPrinted>
  <dcterms:created xsi:type="dcterms:W3CDTF">2020-02-12T20:44:00Z</dcterms:created>
  <dcterms:modified xsi:type="dcterms:W3CDTF">2020-11-30T21:09:00Z</dcterms:modified>
</cp:coreProperties>
</file>